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4"/>
        <w:rPr>
          <w:rFonts w:ascii="Arial"/>
          <w:sz w:val="36"/>
          <w:szCs w:val="36"/>
        </w:rPr>
      </w:pPr>
      <w:r>
        <w:rPr>
          <w:rFonts w:ascii="黑体" w:hAnsi="黑体" w:eastAsia="黑体" w:cs="黑体"/>
          <w:b/>
          <w:bCs/>
          <w:spacing w:val="28"/>
          <w:sz w:val="30"/>
          <w:szCs w:val="30"/>
        </w:rPr>
        <w:t>附件1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b/>
          <w:spacing w:val="8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pacing w:val="8"/>
          <w:kern w:val="0"/>
          <w:sz w:val="36"/>
          <w:szCs w:val="36"/>
        </w:rPr>
        <w:t>“中行杯”第十四届浙江省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b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spacing w:val="8"/>
          <w:kern w:val="0"/>
          <w:sz w:val="36"/>
          <w:szCs w:val="36"/>
        </w:rPr>
        <w:t>大学生职业规划大赛成长赛道方案</w:t>
      </w:r>
    </w:p>
    <w:bookmarkEnd w:id="0"/>
    <w:p>
      <w:pPr>
        <w:spacing w:line="279" w:lineRule="auto"/>
        <w:rPr>
          <w:rFonts w:ascii="Arial"/>
          <w:sz w:val="21"/>
        </w:rPr>
      </w:pPr>
    </w:p>
    <w:p>
      <w:pPr>
        <w:widowControl/>
        <w:shd w:val="clear" w:color="auto" w:fill="FFFFFF"/>
        <w:spacing w:line="360" w:lineRule="auto"/>
        <w:ind w:firstLine="594" w:firstLineChars="200"/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  <w:t>一、比赛内容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考察学生职业发展规划的科学性和围绕实现职业目标的成长过程，通过学习实践持续提升职业目标的达成度，增强综合素质和能力。</w:t>
      </w:r>
    </w:p>
    <w:p>
      <w:pPr>
        <w:widowControl/>
        <w:shd w:val="clear" w:color="auto" w:fill="FFFFFF"/>
        <w:spacing w:line="360" w:lineRule="auto"/>
        <w:ind w:firstLine="594" w:firstLineChars="200"/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  <w:t>二、参赛组别和对象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成长赛道设高教组和职教组，参赛对象为普通高等学校全日制中低年级在校学生。高教组面向普通本科一、二、三年级学生，职教组面向职教本科一、二、三年级学生和高职(专科)一、二年级学生。</w:t>
      </w:r>
    </w:p>
    <w:p>
      <w:pPr>
        <w:widowControl/>
        <w:shd w:val="clear" w:color="auto" w:fill="FFFFFF"/>
        <w:spacing w:line="360" w:lineRule="auto"/>
        <w:ind w:firstLine="594" w:firstLineChars="200"/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  <w:t>三、参赛材料要求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选手在大赛平台(网址</w:t>
      </w:r>
      <w:r>
        <w:rPr>
          <w:rFonts w:hint="eastAsia" w:cs="宋体" w:asciiTheme="minorEastAsia" w:hAnsiTheme="minorEastAsia"/>
          <w:spacing w:val="8"/>
          <w:kern w:val="0"/>
          <w:sz w:val="28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zgs.chsi.com.cn)提交以下参赛材料：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(一)生涯发展报告：介绍职业发展规划、实现职业目标的具体行动和成果(PDF格式，文字不超过1500字，如有图表不超过5张)。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(二)生涯发展展示(PPT格式，不超过50MB;不可加入视频)。</w:t>
      </w:r>
    </w:p>
    <w:p>
      <w:pPr>
        <w:widowControl/>
        <w:shd w:val="clear" w:color="auto" w:fill="FFFFFF"/>
        <w:spacing w:line="360" w:lineRule="auto"/>
        <w:ind w:firstLine="594" w:firstLineChars="200"/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  <w:t>四、比赛环节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(一)省级复赛环节：组织专家对选手提交的参赛材料进行</w:t>
      </w:r>
      <w:r>
        <w:rPr>
          <w:rFonts w:hint="eastAsia" w:cs="宋体" w:asciiTheme="minorEastAsia" w:hAnsiTheme="minorEastAsia"/>
          <w:spacing w:val="8"/>
          <w:kern w:val="0"/>
          <w:sz w:val="28"/>
          <w:szCs w:val="24"/>
          <w:lang w:eastAsia="zh-CN"/>
        </w:rPr>
        <w:t>网上评审</w:t>
      </w: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，确定入围省级决赛人选。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(二)省级决赛环节：成长赛道设主题陈述和评委提问环节。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1.主题陈述(8分钟):选手结合生涯发展报告进行陈述和展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示。展示可以选用道具，仅限选手本人完成。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/>
          <w:spacing w:val="8"/>
          <w:kern w:val="0"/>
          <w:sz w:val="28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2.评委提问(5分钟):评委结合选手陈述和现场表现进行提</w:t>
      </w:r>
    </w:p>
    <w:p>
      <w:pPr>
        <w:widowControl/>
        <w:shd w:val="clear" w:color="auto" w:fill="FFFFFF"/>
        <w:spacing w:line="360" w:lineRule="auto"/>
        <w:ind w:firstLine="592" w:firstLineChars="200"/>
        <w:rPr>
          <w:rFonts w:hint="eastAsia" w:cs="宋体" w:asciiTheme="minorEastAsia" w:hAnsiTheme="minorEastAsia" w:eastAsiaTheme="minorEastAsia"/>
          <w:spacing w:val="8"/>
          <w:kern w:val="0"/>
          <w:sz w:val="28"/>
          <w:szCs w:val="24"/>
          <w:lang w:eastAsia="zh-CN"/>
        </w:rPr>
        <w:sectPr>
          <w:footerReference r:id="rId3" w:type="default"/>
          <w:pgSz w:w="11960" w:h="16750"/>
          <w:pgMar w:top="1423" w:right="1450" w:bottom="1563" w:left="1500" w:header="0" w:footer="1275" w:gutter="0"/>
          <w:cols w:space="720" w:num="1"/>
        </w:sectPr>
      </w:pPr>
      <w:r>
        <w:rPr>
          <w:rFonts w:hint="eastAsia" w:cs="宋体" w:asciiTheme="minorEastAsia" w:hAnsiTheme="minorEastAsia"/>
          <w:spacing w:val="8"/>
          <w:kern w:val="0"/>
          <w:sz w:val="28"/>
          <w:szCs w:val="24"/>
        </w:rPr>
        <w:t>问</w:t>
      </w:r>
      <w:r>
        <w:rPr>
          <w:rFonts w:hint="eastAsia" w:cs="宋体" w:asciiTheme="minorEastAsia" w:hAnsiTheme="minorEastAsia"/>
          <w:spacing w:val="8"/>
          <w:kern w:val="0"/>
          <w:sz w:val="28"/>
          <w:szCs w:val="24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594" w:firstLineChars="200"/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spacing w:val="8"/>
          <w:kern w:val="0"/>
          <w:sz w:val="28"/>
          <w:szCs w:val="24"/>
          <w:lang w:val="en-US" w:eastAsia="zh-CN"/>
        </w:rPr>
        <w:t>五、评审标准</w:t>
      </w:r>
    </w:p>
    <w:p>
      <w:pPr>
        <w:spacing w:line="154" w:lineRule="exact"/>
      </w:pPr>
    </w:p>
    <w:tbl>
      <w:tblPr>
        <w:tblStyle w:val="4"/>
        <w:tblW w:w="91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7252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53" w:type="dxa"/>
            <w:vAlign w:val="top"/>
          </w:tcPr>
          <w:p>
            <w:pPr>
              <w:spacing w:before="83" w:line="211" w:lineRule="auto"/>
              <w:ind w:left="2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指标</w:t>
            </w:r>
          </w:p>
        </w:tc>
        <w:tc>
          <w:tcPr>
            <w:tcW w:w="7252" w:type="dxa"/>
            <w:vAlign w:val="top"/>
          </w:tcPr>
          <w:p>
            <w:pPr>
              <w:spacing w:before="62" w:line="219" w:lineRule="auto"/>
              <w:ind w:left="33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说明</w:t>
            </w:r>
          </w:p>
        </w:tc>
        <w:tc>
          <w:tcPr>
            <w:tcW w:w="854" w:type="dxa"/>
            <w:vAlign w:val="top"/>
          </w:tcPr>
          <w:p>
            <w:pPr>
              <w:spacing w:before="71" w:line="219" w:lineRule="auto"/>
              <w:ind w:left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1053" w:type="dxa"/>
            <w:vAlign w:val="top"/>
          </w:tcPr>
          <w:p>
            <w:pPr>
              <w:spacing w:line="270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70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71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91" w:line="406" w:lineRule="exact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8"/>
                <w:szCs w:val="28"/>
              </w:rPr>
              <w:t>职业</w:t>
            </w:r>
          </w:p>
          <w:p>
            <w:pPr>
              <w:spacing w:line="220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目标</w:t>
            </w:r>
          </w:p>
        </w:tc>
        <w:tc>
          <w:tcPr>
            <w:tcW w:w="7252" w:type="dxa"/>
            <w:vAlign w:val="top"/>
          </w:tcPr>
          <w:p>
            <w:pPr>
              <w:spacing w:before="98" w:line="242" w:lineRule="auto"/>
              <w:ind w:left="111" w:right="1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1.职业目标体现积极正向的价值追求，能够将个</w:t>
            </w:r>
            <w:r>
              <w:rPr>
                <w:rFonts w:ascii="宋体" w:hAnsi="宋体" w:eastAsia="宋体" w:cs="宋体"/>
                <w:sz w:val="28"/>
                <w:szCs w:val="28"/>
              </w:rPr>
              <w:t>人理想与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国家需要、经济社会发展相结合。</w:t>
            </w:r>
          </w:p>
          <w:p>
            <w:pPr>
              <w:spacing w:before="77" w:line="218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2.职业目标匹配个人价值观、能力优势、兴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趣特点。</w:t>
            </w:r>
          </w:p>
          <w:p>
            <w:pPr>
              <w:spacing w:before="49" w:line="252" w:lineRule="auto"/>
              <w:ind w:left="11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3.准确认识目标职业在专业知识、通用素质、就业能力等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方面的要求，科学分析个人现实情况与目标要求的差距，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>制定合理可行的计划。</w:t>
            </w:r>
          </w:p>
        </w:tc>
        <w:tc>
          <w:tcPr>
            <w:tcW w:w="854" w:type="dxa"/>
            <w:vAlign w:val="top"/>
          </w:tcPr>
          <w:p>
            <w:pPr>
              <w:spacing w:line="259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9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9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60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91" w:line="183" w:lineRule="auto"/>
              <w:ind w:left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053" w:type="dxa"/>
            <w:vAlign w:val="top"/>
          </w:tcPr>
          <w:p>
            <w:pPr>
              <w:spacing w:line="26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6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64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91" w:line="400" w:lineRule="exact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position w:val="8"/>
                <w:sz w:val="28"/>
                <w:szCs w:val="28"/>
              </w:rPr>
              <w:t>行动</w:t>
            </w:r>
          </w:p>
          <w:p>
            <w:pPr>
              <w:spacing w:line="220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成果</w:t>
            </w:r>
          </w:p>
        </w:tc>
        <w:tc>
          <w:tcPr>
            <w:tcW w:w="7252" w:type="dxa"/>
            <w:vAlign w:val="top"/>
          </w:tcPr>
          <w:p>
            <w:pPr>
              <w:spacing w:before="107" w:line="251" w:lineRule="auto"/>
              <w:ind w:left="111" w:righ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1.成长行动符合目标职业在通用素质、就业能力、职业道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>德等方面的要求。</w:t>
            </w:r>
          </w:p>
          <w:p>
            <w:pPr>
              <w:spacing w:before="47" w:line="219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2.成长行动对弥补个人不足的针对性较强。</w:t>
            </w:r>
          </w:p>
          <w:p>
            <w:pPr>
              <w:spacing w:before="75" w:line="242" w:lineRule="auto"/>
              <w:ind w:left="111" w:righ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3.能够将专业知识应用于成长实践，提高通用素质和就业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能力。</w:t>
            </w:r>
          </w:p>
          <w:p>
            <w:pPr>
              <w:spacing w:before="48" w:line="184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4.成长行动内容丰富，取得阶段性成果。</w:t>
            </w:r>
          </w:p>
        </w:tc>
        <w:tc>
          <w:tcPr>
            <w:tcW w:w="854" w:type="dxa"/>
            <w:vAlign w:val="top"/>
          </w:tcPr>
          <w:p>
            <w:pPr>
              <w:spacing w:line="260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60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60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61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91" w:line="183" w:lineRule="auto"/>
              <w:ind w:left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1053" w:type="dxa"/>
            <w:vAlign w:val="top"/>
          </w:tcPr>
          <w:p>
            <w:pPr>
              <w:spacing w:before="121" w:line="220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目标</w:t>
            </w:r>
          </w:p>
          <w:p>
            <w:pPr>
              <w:spacing w:before="65" w:line="219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契合</w:t>
            </w:r>
          </w:p>
          <w:p>
            <w:pPr>
              <w:spacing w:before="48" w:line="195" w:lineRule="auto"/>
              <w:ind w:left="3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度</w:t>
            </w:r>
          </w:p>
        </w:tc>
        <w:tc>
          <w:tcPr>
            <w:tcW w:w="7252" w:type="dxa"/>
            <w:vAlign w:val="top"/>
          </w:tcPr>
          <w:p>
            <w:pPr>
              <w:spacing w:before="130" w:line="219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1.行动成果与职业目标的契合程度。</w:t>
            </w:r>
          </w:p>
          <w:p>
            <w:pPr>
              <w:spacing w:before="67" w:line="228" w:lineRule="auto"/>
              <w:ind w:left="111" w:right="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2.总结成长行动中存在的不足和原因，对成长计划进行自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>我评估和动态调整。</w:t>
            </w:r>
          </w:p>
        </w:tc>
        <w:tc>
          <w:tcPr>
            <w:tcW w:w="854" w:type="dxa"/>
            <w:vAlign w:val="top"/>
          </w:tcPr>
          <w:p>
            <w:pPr>
              <w:spacing w:line="448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91" w:line="183" w:lineRule="auto"/>
              <w:ind w:left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35</w:t>
            </w:r>
          </w:p>
        </w:tc>
      </w:tr>
    </w:tbl>
    <w:p>
      <w:pPr>
        <w:spacing w:before="104" w:line="224" w:lineRule="auto"/>
        <w:rPr>
          <w:rFonts w:ascii="黑体" w:hAnsi="黑体" w:eastAsia="黑体" w:cs="黑体"/>
          <w:b/>
          <w:bCs/>
          <w:spacing w:val="23"/>
          <w:sz w:val="30"/>
          <w:szCs w:val="30"/>
        </w:rPr>
      </w:pPr>
    </w:p>
    <w:p>
      <w:pPr>
        <w:spacing w:before="104" w:line="224" w:lineRule="auto"/>
        <w:rPr>
          <w:rFonts w:ascii="黑体" w:hAnsi="黑体" w:eastAsia="黑体" w:cs="黑体"/>
          <w:b/>
          <w:bCs/>
          <w:spacing w:val="23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314B2CEC"/>
    <w:rsid w:val="314B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2023-10-11T08:07:00Z</dcterms:created>
  <dc:creator>陈超超1414896946</dc:creator>
  <cp:lastModifiedBy>陈超超1414896946</cp:lastModifiedBy>
  <dcterms:modified xsi:type="dcterms:W3CDTF">2023-10-11T08:08:25Z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7A9D2147D93F4FF4928C8CB7A8FFCE23_11</vt:lpwstr>
  </property>
</Properties>
</file>