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7"/>
        <w:tblW w:w="9015" w:type="dxa"/>
        <w:jc w:val="center"/>
        <w:tblLayout w:type="fixed"/>
        <w:tblCellMar>
          <w:top w:w="0" w:type="dxa"/>
          <w:left w:w="0" w:type="dxa"/>
          <w:bottom w:w="0" w:type="dxa"/>
          <w:right w:w="0" w:type="dxa"/>
        </w:tblCellMar>
      </w:tblPr>
      <w:tblGrid>
        <w:gridCol w:w="9015"/>
      </w:tblGrid>
      <w:tr w14:paraId="7D221A92">
        <w:tblPrEx>
          <w:tblCellMar>
            <w:top w:w="0" w:type="dxa"/>
            <w:left w:w="0" w:type="dxa"/>
            <w:bottom w:w="0" w:type="dxa"/>
            <w:right w:w="0" w:type="dxa"/>
          </w:tblCellMar>
        </w:tblPrEx>
        <w:trPr>
          <w:cantSplit/>
          <w:trHeight w:val="1474" w:hRule="exact"/>
          <w:jc w:val="center"/>
        </w:trPr>
        <w:tc>
          <w:tcPr>
            <w:tcW w:w="9015" w:type="dxa"/>
            <w:tcBorders>
              <w:bottom w:val="nil"/>
            </w:tcBorders>
            <w:vAlign w:val="center"/>
          </w:tcPr>
          <w:p w14:paraId="42E598C2">
            <w:pPr>
              <w:spacing w:line="240" w:lineRule="auto"/>
              <w:ind w:firstLine="652"/>
              <w:jc w:val="right"/>
              <w:rPr>
                <w:rFonts w:eastAsia="黑体"/>
              </w:rPr>
            </w:pPr>
            <w:bookmarkStart w:id="7" w:name="_GoBack"/>
            <w:bookmarkEnd w:id="7"/>
          </w:p>
        </w:tc>
      </w:tr>
      <w:tr w14:paraId="782017AF">
        <w:tblPrEx>
          <w:tblCellMar>
            <w:top w:w="0" w:type="dxa"/>
            <w:left w:w="0" w:type="dxa"/>
            <w:bottom w:w="0" w:type="dxa"/>
            <w:right w:w="0" w:type="dxa"/>
          </w:tblCellMar>
        </w:tblPrEx>
        <w:trPr>
          <w:cantSplit/>
          <w:trHeight w:val="1644" w:hRule="exact"/>
          <w:jc w:val="center"/>
        </w:trPr>
        <w:tc>
          <w:tcPr>
            <w:tcW w:w="9015" w:type="dxa"/>
            <w:vAlign w:val="center"/>
          </w:tcPr>
          <w:p w14:paraId="206259EA">
            <w:pPr>
              <w:adjustRightInd w:val="0"/>
              <w:snapToGrid w:val="0"/>
              <w:spacing w:line="240" w:lineRule="auto"/>
              <w:jc w:val="center"/>
              <w:rPr>
                <w:rFonts w:eastAsia="方正小标宋简体"/>
                <w:color w:val="FF0000"/>
                <w:sz w:val="86"/>
                <w:szCs w:val="86"/>
              </w:rPr>
            </w:pPr>
            <w:r>
              <w:rPr>
                <w:rFonts w:eastAsia="方正小标宋简体"/>
                <w:color w:val="FF0000"/>
                <w:spacing w:val="91"/>
                <w:kern w:val="0"/>
                <w:sz w:val="86"/>
                <w:szCs w:val="86"/>
              </w:rPr>
              <w:t>浙江师范大学文</w:t>
            </w:r>
            <w:r>
              <w:rPr>
                <w:rFonts w:eastAsia="方正小标宋简体"/>
                <w:color w:val="FF0000"/>
                <w:spacing w:val="5"/>
                <w:kern w:val="0"/>
                <w:sz w:val="86"/>
                <w:szCs w:val="86"/>
              </w:rPr>
              <w:t>件</w:t>
            </w:r>
          </w:p>
        </w:tc>
      </w:tr>
      <w:tr w14:paraId="72C32E01">
        <w:tblPrEx>
          <w:tblCellMar>
            <w:top w:w="0" w:type="dxa"/>
            <w:left w:w="0" w:type="dxa"/>
            <w:bottom w:w="0" w:type="dxa"/>
            <w:right w:w="0" w:type="dxa"/>
          </w:tblCellMar>
        </w:tblPrEx>
        <w:trPr>
          <w:cantSplit/>
          <w:trHeight w:val="680" w:hRule="exact"/>
          <w:jc w:val="center"/>
        </w:trPr>
        <w:tc>
          <w:tcPr>
            <w:tcW w:w="9015" w:type="dxa"/>
            <w:vAlign w:val="center"/>
          </w:tcPr>
          <w:p w14:paraId="02397ED4">
            <w:pPr>
              <w:spacing w:line="240" w:lineRule="auto"/>
              <w:jc w:val="center"/>
              <w:rPr>
                <w:b/>
                <w:color w:val="FF0000"/>
                <w:sz w:val="52"/>
              </w:rPr>
            </w:pPr>
          </w:p>
        </w:tc>
      </w:tr>
      <w:tr w14:paraId="67C2BAEF">
        <w:tblPrEx>
          <w:tblCellMar>
            <w:top w:w="0" w:type="dxa"/>
            <w:left w:w="0" w:type="dxa"/>
            <w:bottom w:w="0" w:type="dxa"/>
            <w:right w:w="0" w:type="dxa"/>
          </w:tblCellMar>
        </w:tblPrEx>
        <w:trPr>
          <w:cantSplit/>
          <w:trHeight w:val="680" w:hRule="exact"/>
          <w:jc w:val="center"/>
        </w:trPr>
        <w:tc>
          <w:tcPr>
            <w:tcW w:w="9015" w:type="dxa"/>
            <w:tcMar>
              <w:left w:w="0" w:type="dxa"/>
              <w:right w:w="0" w:type="dxa"/>
            </w:tcMar>
            <w:vAlign w:val="bottom"/>
          </w:tcPr>
          <w:p w14:paraId="44C8D5E6">
            <w:pPr>
              <w:spacing w:line="240" w:lineRule="auto"/>
              <w:jc w:val="center"/>
            </w:pPr>
            <w:bookmarkStart w:id="0" w:name="文号"/>
            <w:r>
              <w:rPr>
                <w:rFonts w:hint="eastAsia"/>
              </w:rPr>
              <w:t>浙师研字〔2025〕22号</w:t>
            </w:r>
            <w:bookmarkEnd w:id="0"/>
          </w:p>
        </w:tc>
      </w:tr>
      <w:tr w14:paraId="391D56B6">
        <w:tblPrEx>
          <w:tblCellMar>
            <w:top w:w="0" w:type="dxa"/>
            <w:left w:w="0" w:type="dxa"/>
            <w:bottom w:w="0" w:type="dxa"/>
            <w:right w:w="0" w:type="dxa"/>
          </w:tblCellMar>
        </w:tblPrEx>
        <w:trPr>
          <w:cantSplit/>
          <w:trHeight w:val="170" w:hRule="exact"/>
          <w:jc w:val="center"/>
        </w:trPr>
        <w:tc>
          <w:tcPr>
            <w:tcW w:w="9015" w:type="dxa"/>
            <w:tcBorders>
              <w:bottom w:val="single" w:color="FF0000" w:sz="18" w:space="0"/>
            </w:tcBorders>
            <w:vAlign w:val="center"/>
          </w:tcPr>
          <w:p w14:paraId="348A4F9F">
            <w:pPr>
              <w:spacing w:line="240" w:lineRule="auto"/>
              <w:jc w:val="center"/>
              <w:rPr>
                <w:b/>
                <w:sz w:val="21"/>
              </w:rPr>
            </w:pPr>
          </w:p>
        </w:tc>
      </w:tr>
      <w:tr w14:paraId="16CE7E39">
        <w:tblPrEx>
          <w:tblCellMar>
            <w:top w:w="0" w:type="dxa"/>
            <w:left w:w="0" w:type="dxa"/>
            <w:bottom w:w="0" w:type="dxa"/>
            <w:right w:w="0" w:type="dxa"/>
          </w:tblCellMar>
        </w:tblPrEx>
        <w:trPr>
          <w:cantSplit/>
          <w:trHeight w:val="1134" w:hRule="exact"/>
          <w:jc w:val="center"/>
        </w:trPr>
        <w:tc>
          <w:tcPr>
            <w:tcW w:w="9015" w:type="dxa"/>
            <w:tcBorders>
              <w:top w:val="single" w:color="FF0000" w:sz="18" w:space="0"/>
            </w:tcBorders>
            <w:vAlign w:val="center"/>
          </w:tcPr>
          <w:p w14:paraId="359456B0">
            <w:pPr>
              <w:spacing w:line="240" w:lineRule="auto"/>
              <w:jc w:val="center"/>
              <w:rPr>
                <w:b/>
                <w:sz w:val="44"/>
              </w:rPr>
            </w:pPr>
          </w:p>
        </w:tc>
      </w:tr>
      <w:tr w14:paraId="787F15B7">
        <w:tblPrEx>
          <w:tblCellMar>
            <w:top w:w="0" w:type="dxa"/>
            <w:left w:w="0" w:type="dxa"/>
            <w:bottom w:w="0" w:type="dxa"/>
            <w:right w:w="0" w:type="dxa"/>
          </w:tblCellMar>
        </w:tblPrEx>
        <w:trPr>
          <w:cantSplit/>
          <w:trHeight w:val="567" w:hRule="atLeast"/>
          <w:jc w:val="center"/>
        </w:trPr>
        <w:tc>
          <w:tcPr>
            <w:tcW w:w="9015" w:type="dxa"/>
            <w:vAlign w:val="center"/>
          </w:tcPr>
          <w:p w14:paraId="6F541C54">
            <w:pPr>
              <w:spacing w:line="640" w:lineRule="exact"/>
              <w:jc w:val="center"/>
              <w:rPr>
                <w:rFonts w:eastAsia="方正小标宋简体"/>
                <w:sz w:val="44"/>
              </w:rPr>
            </w:pPr>
            <w:bookmarkStart w:id="1" w:name="标题"/>
            <w:r>
              <w:rPr>
                <w:rFonts w:hint="eastAsia" w:eastAsia="方正小标宋简体"/>
                <w:sz w:val="44"/>
              </w:rPr>
              <w:t>浙江师范大学关于印发研究生学位论文</w:t>
            </w:r>
          </w:p>
          <w:p w14:paraId="0ACD13D9">
            <w:pPr>
              <w:spacing w:line="640" w:lineRule="exact"/>
              <w:jc w:val="center"/>
              <w:rPr>
                <w:rFonts w:eastAsia="方正小标宋简体"/>
                <w:sz w:val="44"/>
              </w:rPr>
            </w:pPr>
            <w:r>
              <w:rPr>
                <w:rFonts w:hint="eastAsia" w:eastAsia="方正小标宋简体"/>
                <w:sz w:val="44"/>
              </w:rPr>
              <w:t>查重检测管理办法的通知</w:t>
            </w:r>
            <w:bookmarkEnd w:id="1"/>
          </w:p>
        </w:tc>
      </w:tr>
      <w:tr w14:paraId="0F7D830D">
        <w:tblPrEx>
          <w:tblCellMar>
            <w:top w:w="0" w:type="dxa"/>
            <w:left w:w="0" w:type="dxa"/>
            <w:bottom w:w="0" w:type="dxa"/>
            <w:right w:w="0" w:type="dxa"/>
          </w:tblCellMar>
        </w:tblPrEx>
        <w:trPr>
          <w:cantSplit/>
          <w:trHeight w:val="851" w:hRule="exact"/>
          <w:jc w:val="center"/>
        </w:trPr>
        <w:tc>
          <w:tcPr>
            <w:tcW w:w="9015" w:type="dxa"/>
            <w:vAlign w:val="center"/>
          </w:tcPr>
          <w:p w14:paraId="3E70FBED">
            <w:pPr>
              <w:spacing w:line="240" w:lineRule="auto"/>
              <w:jc w:val="center"/>
              <w:rPr>
                <w:b/>
                <w:sz w:val="24"/>
              </w:rPr>
            </w:pPr>
          </w:p>
        </w:tc>
      </w:tr>
      <w:tr w14:paraId="2B36CBBF">
        <w:tblPrEx>
          <w:tblCellMar>
            <w:top w:w="0" w:type="dxa"/>
            <w:left w:w="0" w:type="dxa"/>
            <w:bottom w:w="0" w:type="dxa"/>
            <w:right w:w="0" w:type="dxa"/>
          </w:tblCellMar>
        </w:tblPrEx>
        <w:trPr>
          <w:cantSplit/>
          <w:trHeight w:val="567" w:hRule="atLeast"/>
          <w:jc w:val="center"/>
        </w:trPr>
        <w:tc>
          <w:tcPr>
            <w:tcW w:w="9015" w:type="dxa"/>
            <w:vAlign w:val="center"/>
          </w:tcPr>
          <w:p w14:paraId="5D1935EE">
            <w:pPr>
              <w:spacing w:line="240" w:lineRule="auto"/>
            </w:pPr>
            <w:r>
              <w:rPr>
                <w:rFonts w:hint="eastAsia"/>
              </w:rPr>
              <w:t>各学院、部门（单位）：</w:t>
            </w:r>
          </w:p>
        </w:tc>
      </w:tr>
    </w:tbl>
    <w:p w14:paraId="4CB99760">
      <w:pPr>
        <w:adjustRightInd w:val="0"/>
        <w:snapToGrid w:val="0"/>
        <w:spacing w:line="560" w:lineRule="exact"/>
        <w:ind w:firstLine="640" w:firstLineChars="200"/>
        <w:rPr>
          <w:szCs w:val="32"/>
        </w:rPr>
      </w:pPr>
      <w:r>
        <w:rPr>
          <w:rFonts w:hint="eastAsia"/>
          <w:szCs w:val="32"/>
        </w:rPr>
        <w:t>现将《浙江师范大学研究生学位论文查重检测管理办法》印发给你们，请遵照执行。</w:t>
      </w:r>
    </w:p>
    <w:p w14:paraId="06F110D3">
      <w:pPr>
        <w:adjustRightInd w:val="0"/>
        <w:snapToGrid w:val="0"/>
        <w:spacing w:line="560" w:lineRule="exact"/>
        <w:ind w:firstLine="640" w:firstLineChars="200"/>
        <w:rPr>
          <w:szCs w:val="32"/>
        </w:rPr>
      </w:pPr>
    </w:p>
    <w:p w14:paraId="691F336F">
      <w:pPr>
        <w:adjustRightInd w:val="0"/>
        <w:snapToGrid w:val="0"/>
        <w:spacing w:line="560" w:lineRule="exact"/>
        <w:ind w:firstLine="640" w:firstLineChars="200"/>
        <w:rPr>
          <w:szCs w:val="32"/>
        </w:rPr>
      </w:pPr>
    </w:p>
    <w:p w14:paraId="6D051FC9">
      <w:pPr>
        <w:adjustRightInd w:val="0"/>
        <w:snapToGrid w:val="0"/>
        <w:spacing w:line="560" w:lineRule="exact"/>
        <w:ind w:firstLine="640" w:firstLineChars="200"/>
        <w:rPr>
          <w:szCs w:val="32"/>
        </w:rPr>
      </w:pPr>
    </w:p>
    <w:p w14:paraId="78A14286">
      <w:pPr>
        <w:adjustRightInd w:val="0"/>
        <w:snapToGrid w:val="0"/>
        <w:spacing w:line="560" w:lineRule="exact"/>
        <w:ind w:firstLine="3840" w:firstLineChars="1200"/>
        <w:jc w:val="center"/>
        <w:rPr>
          <w:szCs w:val="32"/>
        </w:rPr>
      </w:pPr>
      <w:r>
        <w:rPr>
          <w:rFonts w:hint="eastAsia"/>
          <w:szCs w:val="32"/>
        </w:rPr>
        <w:t>浙江师范大学</w:t>
      </w:r>
    </w:p>
    <w:p w14:paraId="5D820D15">
      <w:pPr>
        <w:adjustRightInd w:val="0"/>
        <w:snapToGrid w:val="0"/>
        <w:spacing w:line="560" w:lineRule="exact"/>
        <w:ind w:firstLine="3840" w:firstLineChars="1200"/>
        <w:jc w:val="center"/>
        <w:rPr>
          <w:szCs w:val="32"/>
        </w:rPr>
      </w:pPr>
      <w:r>
        <w:rPr>
          <w:rFonts w:hint="eastAsia"/>
          <w:szCs w:val="32"/>
        </w:rPr>
        <w:t>2025年6月23日</w:t>
      </w:r>
    </w:p>
    <w:p w14:paraId="1551F7CE">
      <w:pPr>
        <w:adjustRightInd w:val="0"/>
        <w:snapToGrid w:val="0"/>
        <w:spacing w:line="320" w:lineRule="exact"/>
        <w:rPr>
          <w:szCs w:val="32"/>
        </w:rPr>
      </w:pPr>
      <w:bookmarkStart w:id="2" w:name="_Toc169614162"/>
      <w:bookmarkStart w:id="3" w:name="_Toc169616474"/>
    </w:p>
    <w:p w14:paraId="572FC9F2">
      <w:pPr>
        <w:adjustRightInd w:val="0"/>
        <w:snapToGrid w:val="0"/>
        <w:spacing w:line="320" w:lineRule="exact"/>
        <w:rPr>
          <w:szCs w:val="32"/>
        </w:rPr>
      </w:pPr>
    </w:p>
    <w:p w14:paraId="246903B2">
      <w:pPr>
        <w:adjustRightInd w:val="0"/>
        <w:snapToGrid w:val="0"/>
        <w:spacing w:line="320" w:lineRule="exact"/>
        <w:rPr>
          <w:szCs w:val="32"/>
        </w:rPr>
      </w:pPr>
    </w:p>
    <w:p w14:paraId="45B42700">
      <w:pPr>
        <w:adjustRightInd w:val="0"/>
        <w:snapToGrid w:val="0"/>
        <w:spacing w:line="640" w:lineRule="exact"/>
        <w:jc w:val="center"/>
        <w:rPr>
          <w:rFonts w:eastAsia="方正小标宋简体"/>
          <w:spacing w:val="-6"/>
          <w:sz w:val="44"/>
          <w:szCs w:val="44"/>
        </w:rPr>
      </w:pPr>
      <w:r>
        <w:rPr>
          <w:rFonts w:hint="eastAsia" w:eastAsia="方正小标宋简体"/>
          <w:spacing w:val="-6"/>
          <w:sz w:val="44"/>
          <w:szCs w:val="44"/>
        </w:rPr>
        <w:t>浙江师范大学研究生学位论文查重检测</w:t>
      </w:r>
      <w:bookmarkEnd w:id="2"/>
      <w:bookmarkStart w:id="4" w:name="_Toc169614163"/>
      <w:r>
        <w:rPr>
          <w:rFonts w:hint="eastAsia" w:eastAsia="方正小标宋简体"/>
          <w:spacing w:val="-6"/>
          <w:sz w:val="44"/>
          <w:szCs w:val="44"/>
        </w:rPr>
        <w:t>管理办法</w:t>
      </w:r>
      <w:bookmarkEnd w:id="3"/>
      <w:bookmarkEnd w:id="4"/>
    </w:p>
    <w:p w14:paraId="2B490B6F">
      <w:pPr>
        <w:adjustRightInd w:val="0"/>
        <w:snapToGrid w:val="0"/>
        <w:spacing w:line="320" w:lineRule="exact"/>
        <w:rPr>
          <w:szCs w:val="32"/>
        </w:rPr>
      </w:pPr>
    </w:p>
    <w:p w14:paraId="61343C12">
      <w:pPr>
        <w:adjustRightInd w:val="0"/>
        <w:snapToGrid w:val="0"/>
        <w:spacing w:line="320" w:lineRule="exact"/>
        <w:rPr>
          <w:szCs w:val="32"/>
        </w:rPr>
      </w:pPr>
    </w:p>
    <w:p w14:paraId="2C487266">
      <w:pPr>
        <w:adjustRightInd w:val="0"/>
        <w:snapToGrid w:val="0"/>
        <w:spacing w:line="560" w:lineRule="exact"/>
        <w:ind w:firstLine="640" w:firstLineChars="200"/>
        <w:rPr>
          <w:bCs/>
          <w:szCs w:val="32"/>
        </w:rPr>
      </w:pPr>
      <w:r>
        <w:rPr>
          <w:rFonts w:hint="eastAsia" w:eastAsia="黑体"/>
          <w:bCs/>
          <w:szCs w:val="32"/>
        </w:rPr>
        <w:t>第一条</w:t>
      </w:r>
      <w:r>
        <w:rPr>
          <w:rFonts w:hint="eastAsia"/>
          <w:bCs/>
          <w:szCs w:val="32"/>
        </w:rPr>
        <w:t>　根据《国务院学位委员会关于在学位授予工作中加强学术道德和学术规范建设的意见》（学位〔</w:t>
      </w:r>
      <w:r>
        <w:rPr>
          <w:bCs/>
          <w:szCs w:val="32"/>
        </w:rPr>
        <w:t>2010</w:t>
      </w:r>
      <w:r>
        <w:rPr>
          <w:rFonts w:hint="eastAsia"/>
          <w:bCs/>
          <w:szCs w:val="32"/>
        </w:rPr>
        <w:t>〕</w:t>
      </w:r>
      <w:r>
        <w:rPr>
          <w:bCs/>
          <w:szCs w:val="32"/>
        </w:rPr>
        <w:t>9</w:t>
      </w:r>
      <w:r>
        <w:rPr>
          <w:rFonts w:hint="eastAsia"/>
          <w:bCs/>
          <w:szCs w:val="32"/>
        </w:rPr>
        <w:t>号）、《学位论文作假行为处理办法》（中华人民共和国教育部令第</w:t>
      </w:r>
      <w:r>
        <w:rPr>
          <w:bCs/>
          <w:szCs w:val="32"/>
        </w:rPr>
        <w:t>34</w:t>
      </w:r>
      <w:r>
        <w:rPr>
          <w:rFonts w:hint="eastAsia"/>
          <w:bCs/>
          <w:szCs w:val="32"/>
        </w:rPr>
        <w:t>号）、《高等学校预防与处理学术不端行为办法》（中华人民共和国教育部令第</w:t>
      </w:r>
      <w:r>
        <w:rPr>
          <w:bCs/>
          <w:szCs w:val="32"/>
        </w:rPr>
        <w:t>40</w:t>
      </w:r>
      <w:r>
        <w:rPr>
          <w:rFonts w:hint="eastAsia"/>
          <w:bCs/>
          <w:szCs w:val="32"/>
        </w:rPr>
        <w:t>号）等文件精神，为规范研究生学术行为，提升学位论文质量，结合学校实际，制定本办法。</w:t>
      </w:r>
    </w:p>
    <w:p w14:paraId="72597B0F">
      <w:pPr>
        <w:adjustRightInd w:val="0"/>
        <w:snapToGrid w:val="0"/>
        <w:spacing w:line="560" w:lineRule="exact"/>
        <w:ind w:firstLine="640" w:firstLineChars="200"/>
        <w:rPr>
          <w:bCs/>
          <w:szCs w:val="32"/>
        </w:rPr>
      </w:pPr>
      <w:r>
        <w:rPr>
          <w:rFonts w:hint="eastAsia" w:eastAsia="黑体"/>
          <w:bCs/>
          <w:szCs w:val="32"/>
        </w:rPr>
        <w:t>第二条</w:t>
      </w:r>
      <w:r>
        <w:rPr>
          <w:rFonts w:hint="eastAsia"/>
          <w:bCs/>
          <w:szCs w:val="32"/>
        </w:rPr>
        <w:t>　拟申请我校学位的各类研究生，其学位论文必须通过检测后方可送审。</w:t>
      </w:r>
    </w:p>
    <w:p w14:paraId="6DD2DDA4">
      <w:pPr>
        <w:adjustRightInd w:val="0"/>
        <w:snapToGrid w:val="0"/>
        <w:spacing w:line="560" w:lineRule="exact"/>
        <w:ind w:firstLine="640" w:firstLineChars="200"/>
        <w:rPr>
          <w:bCs/>
          <w:szCs w:val="32"/>
        </w:rPr>
      </w:pPr>
      <w:r>
        <w:rPr>
          <w:rFonts w:hint="eastAsia" w:eastAsia="黑体"/>
          <w:bCs/>
          <w:szCs w:val="32"/>
        </w:rPr>
        <w:t>第三条</w:t>
      </w:r>
      <w:r>
        <w:rPr>
          <w:rFonts w:hint="eastAsia"/>
          <w:bCs/>
          <w:szCs w:val="32"/>
        </w:rPr>
        <w:t>　我校采用的研究生学位论文检测平台为中国知网的“学位论文学术不端行为检测系统”。</w:t>
      </w:r>
    </w:p>
    <w:p w14:paraId="4D8DCBB2">
      <w:pPr>
        <w:adjustRightInd w:val="0"/>
        <w:snapToGrid w:val="0"/>
        <w:spacing w:line="560" w:lineRule="exact"/>
        <w:ind w:firstLine="640" w:firstLineChars="200"/>
        <w:rPr>
          <w:bCs/>
          <w:szCs w:val="32"/>
        </w:rPr>
      </w:pPr>
      <w:r>
        <w:rPr>
          <w:rFonts w:hint="eastAsia" w:eastAsia="黑体"/>
          <w:bCs/>
          <w:szCs w:val="32"/>
        </w:rPr>
        <w:t>第四条</w:t>
      </w:r>
      <w:r>
        <w:rPr>
          <w:rFonts w:hint="eastAsia"/>
          <w:bCs/>
          <w:szCs w:val="32"/>
        </w:rPr>
        <w:t>　研究生学位论文检测由研究生院学位办统一组织实施，检测论文以学位申请者在“研究生学位论文网络评审系统”中提交的为准。</w:t>
      </w:r>
    </w:p>
    <w:p w14:paraId="53CC53E3">
      <w:pPr>
        <w:adjustRightInd w:val="0"/>
        <w:snapToGrid w:val="0"/>
        <w:spacing w:line="560" w:lineRule="exact"/>
        <w:ind w:firstLine="640" w:firstLineChars="200"/>
        <w:rPr>
          <w:bCs/>
          <w:szCs w:val="32"/>
        </w:rPr>
      </w:pPr>
      <w:r>
        <w:rPr>
          <w:rFonts w:hint="eastAsia" w:eastAsia="黑体"/>
          <w:bCs/>
          <w:szCs w:val="32"/>
        </w:rPr>
        <w:t>第五条</w:t>
      </w:r>
      <w:r>
        <w:rPr>
          <w:rFonts w:hint="eastAsia"/>
          <w:bCs/>
          <w:szCs w:val="32"/>
        </w:rPr>
        <w:t>　学位论文检测结果以“去除本人已发表文献复制比”（以下简称“去除本人复制比”）为主要指标。具体处理办法如下：</w:t>
      </w:r>
    </w:p>
    <w:p w14:paraId="60BB1EB4">
      <w:pPr>
        <w:adjustRightInd w:val="0"/>
        <w:snapToGrid w:val="0"/>
        <w:spacing w:line="560" w:lineRule="exact"/>
        <w:ind w:firstLine="640" w:firstLineChars="200"/>
        <w:rPr>
          <w:bCs/>
          <w:szCs w:val="32"/>
        </w:rPr>
      </w:pPr>
      <w:r>
        <w:rPr>
          <w:rFonts w:hint="eastAsia"/>
          <w:bCs/>
          <w:szCs w:val="32"/>
        </w:rPr>
        <w:t>（一）博士学位论文“去除本人复制比”≤</w:t>
      </w:r>
      <w:r>
        <w:rPr>
          <w:bCs/>
          <w:szCs w:val="32"/>
        </w:rPr>
        <w:t>15%</w:t>
      </w:r>
      <w:r>
        <w:rPr>
          <w:rFonts w:hint="eastAsia"/>
          <w:bCs/>
          <w:szCs w:val="32"/>
        </w:rPr>
        <w:t>、硕士学位论文“去除本人复制比”≤</w:t>
      </w:r>
      <w:r>
        <w:rPr>
          <w:bCs/>
          <w:szCs w:val="32"/>
        </w:rPr>
        <w:t>20%</w:t>
      </w:r>
      <w:r>
        <w:rPr>
          <w:rFonts w:hint="eastAsia"/>
          <w:bCs/>
          <w:szCs w:val="32"/>
        </w:rPr>
        <w:t>，视为通过检测。</w:t>
      </w:r>
    </w:p>
    <w:p w14:paraId="0595C72C">
      <w:pPr>
        <w:adjustRightInd w:val="0"/>
        <w:snapToGrid w:val="0"/>
        <w:spacing w:line="560" w:lineRule="exact"/>
        <w:ind w:firstLine="640" w:firstLineChars="200"/>
        <w:rPr>
          <w:bCs/>
          <w:szCs w:val="32"/>
        </w:rPr>
      </w:pPr>
      <w:r>
        <w:rPr>
          <w:rFonts w:hint="eastAsia"/>
          <w:bCs/>
          <w:szCs w:val="32"/>
        </w:rPr>
        <w:t>（二）博士学位论文“去除本人复制比”＞</w:t>
      </w:r>
      <w:r>
        <w:rPr>
          <w:bCs/>
          <w:szCs w:val="32"/>
        </w:rPr>
        <w:t>15%</w:t>
      </w:r>
      <w:r>
        <w:rPr>
          <w:rFonts w:hint="eastAsia"/>
          <w:bCs/>
          <w:szCs w:val="32"/>
        </w:rPr>
        <w:t>且≤</w:t>
      </w:r>
      <w:r>
        <w:rPr>
          <w:bCs/>
          <w:szCs w:val="32"/>
        </w:rPr>
        <w:t>30%</w:t>
      </w:r>
      <w:r>
        <w:rPr>
          <w:rFonts w:hint="eastAsia"/>
          <w:bCs/>
          <w:szCs w:val="32"/>
        </w:rPr>
        <w:t>、硕士学位论文“去除本人复制比”＞</w:t>
      </w:r>
      <w:r>
        <w:rPr>
          <w:bCs/>
          <w:szCs w:val="32"/>
        </w:rPr>
        <w:t>20%</w:t>
      </w:r>
      <w:r>
        <w:rPr>
          <w:rFonts w:hint="eastAsia"/>
          <w:bCs/>
          <w:szCs w:val="32"/>
        </w:rPr>
        <w:t>且≤</w:t>
      </w:r>
      <w:r>
        <w:rPr>
          <w:bCs/>
          <w:szCs w:val="32"/>
        </w:rPr>
        <w:t>30%</w:t>
      </w:r>
      <w:r>
        <w:rPr>
          <w:rFonts w:hint="eastAsia"/>
          <w:bCs/>
          <w:szCs w:val="32"/>
        </w:rPr>
        <w:t>，需在导师指导下认真修改，并在规定时间内重新提交检测。第二次检测仍不能达到第（一）款标准者，取消本次答辩资格，</w:t>
      </w:r>
      <w:r>
        <w:rPr>
          <w:bCs/>
          <w:szCs w:val="32"/>
        </w:rPr>
        <w:t>3</w:t>
      </w:r>
      <w:r>
        <w:rPr>
          <w:rFonts w:hint="eastAsia"/>
          <w:bCs/>
          <w:szCs w:val="32"/>
        </w:rPr>
        <w:t>个月后方可重新提交检测。</w:t>
      </w:r>
    </w:p>
    <w:p w14:paraId="5E06860D">
      <w:pPr>
        <w:adjustRightInd w:val="0"/>
        <w:snapToGrid w:val="0"/>
        <w:spacing w:line="560" w:lineRule="exact"/>
        <w:ind w:firstLine="640" w:firstLineChars="200"/>
        <w:rPr>
          <w:bCs/>
          <w:szCs w:val="32"/>
        </w:rPr>
      </w:pPr>
      <w:r>
        <w:rPr>
          <w:rFonts w:hint="eastAsia"/>
          <w:bCs/>
          <w:szCs w:val="32"/>
        </w:rPr>
        <w:t>（三）博士学位论文“去除本人复制比”＞</w:t>
      </w:r>
      <w:r>
        <w:rPr>
          <w:bCs/>
          <w:szCs w:val="32"/>
        </w:rPr>
        <w:t>30%</w:t>
      </w:r>
      <w:r>
        <w:rPr>
          <w:rFonts w:hint="eastAsia"/>
          <w:bCs/>
          <w:szCs w:val="32"/>
        </w:rPr>
        <w:t>且≤</w:t>
      </w:r>
      <w:r>
        <w:rPr>
          <w:bCs/>
          <w:szCs w:val="32"/>
        </w:rPr>
        <w:t>40%</w:t>
      </w:r>
      <w:r>
        <w:rPr>
          <w:rFonts w:hint="eastAsia"/>
          <w:bCs/>
          <w:szCs w:val="32"/>
        </w:rPr>
        <w:t>、硕士学位论文“去除本人复制比”＞</w:t>
      </w:r>
      <w:r>
        <w:rPr>
          <w:bCs/>
          <w:szCs w:val="32"/>
        </w:rPr>
        <w:t>30%</w:t>
      </w:r>
      <w:r>
        <w:rPr>
          <w:rFonts w:hint="eastAsia"/>
          <w:bCs/>
          <w:szCs w:val="32"/>
        </w:rPr>
        <w:t>且≤</w:t>
      </w:r>
      <w:r>
        <w:rPr>
          <w:bCs/>
          <w:szCs w:val="32"/>
        </w:rPr>
        <w:t>50%</w:t>
      </w:r>
      <w:r>
        <w:rPr>
          <w:rFonts w:hint="eastAsia"/>
          <w:bCs/>
          <w:szCs w:val="32"/>
        </w:rPr>
        <w:t>，取消本次答辩资格，须经</w:t>
      </w:r>
      <w:r>
        <w:rPr>
          <w:bCs/>
          <w:szCs w:val="32"/>
        </w:rPr>
        <w:t>3</w:t>
      </w:r>
      <w:r>
        <w:rPr>
          <w:rFonts w:hint="eastAsia"/>
          <w:bCs/>
          <w:szCs w:val="32"/>
        </w:rPr>
        <w:t>个月后方可重新提交检测。</w:t>
      </w:r>
    </w:p>
    <w:p w14:paraId="3B517ADD">
      <w:pPr>
        <w:adjustRightInd w:val="0"/>
        <w:snapToGrid w:val="0"/>
        <w:spacing w:line="560" w:lineRule="exact"/>
        <w:ind w:firstLine="640" w:firstLineChars="200"/>
        <w:rPr>
          <w:bCs/>
          <w:szCs w:val="32"/>
        </w:rPr>
      </w:pPr>
      <w:r>
        <w:rPr>
          <w:rFonts w:hint="eastAsia"/>
          <w:bCs/>
          <w:szCs w:val="32"/>
        </w:rPr>
        <w:t>（四）博士学位论文“去除本人复制比”＞</w:t>
      </w:r>
      <w:r>
        <w:rPr>
          <w:bCs/>
          <w:szCs w:val="32"/>
        </w:rPr>
        <w:t>40%</w:t>
      </w:r>
      <w:r>
        <w:rPr>
          <w:rFonts w:hint="eastAsia"/>
          <w:bCs/>
          <w:szCs w:val="32"/>
        </w:rPr>
        <w:t>、硕士学位论文“去除本人复制比”＞</w:t>
      </w:r>
      <w:r>
        <w:rPr>
          <w:bCs/>
          <w:szCs w:val="32"/>
        </w:rPr>
        <w:t>50%</w:t>
      </w:r>
      <w:r>
        <w:rPr>
          <w:rFonts w:hint="eastAsia"/>
          <w:bCs/>
          <w:szCs w:val="32"/>
        </w:rPr>
        <w:t>，取消本次答辩资格，须经半年后方可重新提交检测。</w:t>
      </w:r>
    </w:p>
    <w:p w14:paraId="3FE33778">
      <w:pPr>
        <w:adjustRightInd w:val="0"/>
        <w:snapToGrid w:val="0"/>
        <w:spacing w:line="560" w:lineRule="exact"/>
        <w:ind w:firstLine="640" w:firstLineChars="200"/>
        <w:rPr>
          <w:bCs/>
          <w:szCs w:val="32"/>
        </w:rPr>
      </w:pPr>
      <w:r>
        <w:rPr>
          <w:rFonts w:hint="eastAsia" w:eastAsia="黑体"/>
          <w:bCs/>
          <w:szCs w:val="32"/>
        </w:rPr>
        <w:t>第六条</w:t>
      </w:r>
      <w:r>
        <w:rPr>
          <w:rFonts w:hint="eastAsia"/>
          <w:bCs/>
          <w:szCs w:val="32"/>
        </w:rPr>
        <w:t>　当事人对学位论文检测结果存有异议的，可向所在学院提出申诉。所在学院的学位评定分委员会接到申诉后，应组织不少于</w:t>
      </w:r>
      <w:r>
        <w:rPr>
          <w:bCs/>
          <w:szCs w:val="32"/>
        </w:rPr>
        <w:t>3</w:t>
      </w:r>
      <w:r>
        <w:rPr>
          <w:rFonts w:hint="eastAsia"/>
          <w:bCs/>
          <w:szCs w:val="32"/>
        </w:rPr>
        <w:t>人的同行专家（指导教师除外）对论文检测结果进行鉴定，并对专家组作出的鉴定结论进行审定后，报研究生院学位办审批。</w:t>
      </w:r>
    </w:p>
    <w:p w14:paraId="0AD3BF81">
      <w:pPr>
        <w:adjustRightInd w:val="0"/>
        <w:snapToGrid w:val="0"/>
        <w:spacing w:line="560" w:lineRule="exact"/>
        <w:ind w:firstLine="640" w:firstLineChars="200"/>
        <w:rPr>
          <w:bCs/>
          <w:szCs w:val="32"/>
        </w:rPr>
      </w:pPr>
      <w:r>
        <w:rPr>
          <w:rFonts w:hint="eastAsia" w:eastAsia="黑体"/>
          <w:bCs/>
          <w:szCs w:val="32"/>
        </w:rPr>
        <w:t>第七条</w:t>
      </w:r>
      <w:r>
        <w:rPr>
          <w:rFonts w:hint="eastAsia"/>
          <w:bCs/>
          <w:szCs w:val="32"/>
        </w:rPr>
        <w:t>　检测仅是一种发现和防范学位论文学术不端行为的辅助技术手段，各学院应在此基础上，加强研究生学术规范和科学伦理教育，提高研究生学术道德意识，自律与他律相结合来预防学术不端行为的发生。导师应加强对研究生学位论文工作的指导，严把质量关，确保研究生学位授予质量。</w:t>
      </w:r>
    </w:p>
    <w:p w14:paraId="78666138">
      <w:pPr>
        <w:adjustRightInd w:val="0"/>
        <w:snapToGrid w:val="0"/>
        <w:spacing w:line="560" w:lineRule="exact"/>
        <w:ind w:firstLine="640" w:firstLineChars="200"/>
        <w:rPr>
          <w:bCs/>
          <w:szCs w:val="32"/>
        </w:rPr>
      </w:pPr>
      <w:r>
        <w:rPr>
          <w:rFonts w:hint="eastAsia" w:eastAsia="黑体"/>
          <w:bCs/>
          <w:szCs w:val="32"/>
        </w:rPr>
        <w:t>第八条</w:t>
      </w:r>
      <w:r>
        <w:rPr>
          <w:rFonts w:hint="eastAsia"/>
          <w:bCs/>
          <w:szCs w:val="32"/>
        </w:rPr>
        <w:t>　本办法自发布之日起施行，由研究生院负责解释。原《浙江师范大学研究生学位论文检测暂行办法》（浙师研字〔</w:t>
      </w:r>
      <w:r>
        <w:rPr>
          <w:bCs/>
          <w:szCs w:val="32"/>
        </w:rPr>
        <w:t>2014</w:t>
      </w:r>
      <w:r>
        <w:rPr>
          <w:rFonts w:hint="eastAsia"/>
          <w:bCs/>
          <w:szCs w:val="32"/>
        </w:rPr>
        <w:t>〕</w:t>
      </w:r>
      <w:r>
        <w:rPr>
          <w:bCs/>
          <w:szCs w:val="32"/>
        </w:rPr>
        <w:t>29</w:t>
      </w:r>
      <w:r>
        <w:rPr>
          <w:rFonts w:hint="eastAsia"/>
          <w:bCs/>
          <w:szCs w:val="32"/>
        </w:rPr>
        <w:t>号）同时废止。</w:t>
      </w:r>
    </w:p>
    <w:p w14:paraId="613CC8F3"/>
    <w:p w14:paraId="642695E4">
      <w:pPr>
        <w:adjustRightInd w:val="0"/>
        <w:snapToGrid w:val="0"/>
      </w:pPr>
    </w:p>
    <w:p w14:paraId="426BFCC5">
      <w:pPr>
        <w:adjustRightInd w:val="0"/>
        <w:snapToGrid w:val="0"/>
      </w:pPr>
    </w:p>
    <w:tbl>
      <w:tblPr>
        <w:tblStyle w:val="7"/>
        <w:tblpPr w:leftFromText="181" w:rightFromText="181" w:horzAnchor="margin" w:tblpYSpec="bottom"/>
        <w:tblW w:w="0" w:type="auto"/>
        <w:tblInd w:w="0" w:type="dxa"/>
        <w:tblLayout w:type="fixed"/>
        <w:tblCellMar>
          <w:top w:w="0" w:type="dxa"/>
          <w:left w:w="0" w:type="dxa"/>
          <w:bottom w:w="0" w:type="dxa"/>
          <w:right w:w="0" w:type="dxa"/>
        </w:tblCellMar>
      </w:tblPr>
      <w:tblGrid>
        <w:gridCol w:w="4511"/>
        <w:gridCol w:w="4512"/>
      </w:tblGrid>
      <w:tr w14:paraId="55D03ECE">
        <w:tblPrEx>
          <w:tblCellMar>
            <w:top w:w="0" w:type="dxa"/>
            <w:left w:w="0" w:type="dxa"/>
            <w:bottom w:w="0" w:type="dxa"/>
            <w:right w:w="0" w:type="dxa"/>
          </w:tblCellMar>
        </w:tblPrEx>
        <w:trPr>
          <w:cantSplit/>
          <w:trHeight w:val="567" w:hRule="atLeast"/>
        </w:trPr>
        <w:tc>
          <w:tcPr>
            <w:tcW w:w="9023" w:type="dxa"/>
            <w:gridSpan w:val="2"/>
            <w:tcBorders>
              <w:top w:val="single" w:color="auto" w:sz="8" w:space="0"/>
              <w:bottom w:val="single" w:color="auto" w:sz="4" w:space="0"/>
            </w:tcBorders>
            <w:vAlign w:val="center"/>
          </w:tcPr>
          <w:p w14:paraId="1F5332CA">
            <w:pPr>
              <w:adjustRightInd w:val="0"/>
              <w:snapToGrid w:val="0"/>
              <w:spacing w:line="240" w:lineRule="auto"/>
              <w:jc w:val="left"/>
              <w:rPr>
                <w:sz w:val="28"/>
              </w:rPr>
            </w:pPr>
            <w:r>
              <w:rPr>
                <w:sz w:val="28"/>
              </w:rPr>
              <w:t>　抄送：</w:t>
            </w:r>
            <w:bookmarkStart w:id="5" w:name="抄送单位"/>
            <w:bookmarkEnd w:id="5"/>
            <w:r>
              <w:rPr>
                <w:rFonts w:hint="eastAsia"/>
                <w:sz w:val="28"/>
              </w:rPr>
              <w:t>各党委、党总支，行知学院。</w:t>
            </w:r>
          </w:p>
        </w:tc>
      </w:tr>
      <w:tr w14:paraId="77FEA587">
        <w:tblPrEx>
          <w:tblCellMar>
            <w:top w:w="0" w:type="dxa"/>
            <w:left w:w="0" w:type="dxa"/>
            <w:bottom w:w="0" w:type="dxa"/>
            <w:right w:w="0" w:type="dxa"/>
          </w:tblCellMar>
        </w:tblPrEx>
        <w:trPr>
          <w:cantSplit/>
          <w:trHeight w:val="567" w:hRule="exact"/>
        </w:trPr>
        <w:tc>
          <w:tcPr>
            <w:tcW w:w="4511" w:type="dxa"/>
            <w:tcBorders>
              <w:top w:val="single" w:color="auto" w:sz="4" w:space="0"/>
              <w:bottom w:val="single" w:color="auto" w:sz="8" w:space="0"/>
            </w:tcBorders>
            <w:vAlign w:val="center"/>
          </w:tcPr>
          <w:p w14:paraId="3106535B">
            <w:pPr>
              <w:adjustRightInd w:val="0"/>
              <w:snapToGrid w:val="0"/>
              <w:spacing w:line="240" w:lineRule="auto"/>
              <w:rPr>
                <w:sz w:val="28"/>
              </w:rPr>
            </w:pPr>
            <w:r>
              <w:rPr>
                <w:sz w:val="28"/>
              </w:rPr>
              <w:t>　</w:t>
            </w:r>
            <w:r>
              <w:rPr>
                <w:rFonts w:hint="eastAsia"/>
                <w:sz w:val="28"/>
              </w:rPr>
              <w:t>浙江师范大学办公室</w:t>
            </w:r>
          </w:p>
        </w:tc>
        <w:tc>
          <w:tcPr>
            <w:tcW w:w="4512" w:type="dxa"/>
            <w:tcBorders>
              <w:top w:val="single" w:color="auto" w:sz="4" w:space="0"/>
              <w:bottom w:val="single" w:color="auto" w:sz="8" w:space="0"/>
            </w:tcBorders>
            <w:vAlign w:val="center"/>
          </w:tcPr>
          <w:p w14:paraId="5AB8A0D3">
            <w:pPr>
              <w:adjustRightInd w:val="0"/>
              <w:snapToGrid w:val="0"/>
              <w:spacing w:line="240" w:lineRule="auto"/>
              <w:ind w:right="320" w:rightChars="100"/>
              <w:jc w:val="right"/>
              <w:rPr>
                <w:sz w:val="28"/>
              </w:rPr>
            </w:pPr>
            <w:bookmarkStart w:id="6" w:name="印发日期"/>
            <w:r>
              <w:rPr>
                <w:rFonts w:hint="eastAsia" w:cs="宋体"/>
                <w:kern w:val="0"/>
                <w:sz w:val="28"/>
              </w:rPr>
              <w:t>2025年6月23日印发</w:t>
            </w:r>
            <w:bookmarkEnd w:id="6"/>
          </w:p>
        </w:tc>
      </w:tr>
    </w:tbl>
    <w:p w14:paraId="29C5AB8E">
      <w:pPr>
        <w:adjustRightInd w:val="0"/>
        <w:snapToGrid w:val="0"/>
      </w:pPr>
    </w:p>
    <w:sectPr>
      <w:footerReference r:id="rId5" w:type="default"/>
      <w:footerReference r:id="rId6" w:type="even"/>
      <w:pgSz w:w="11906" w:h="16838"/>
      <w:pgMar w:top="1928" w:right="1418" w:bottom="1985" w:left="1474" w:header="851" w:footer="1531"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FD30B">
    <w:pPr>
      <w:pStyle w:val="4"/>
      <w:wordWrap w:val="0"/>
      <w:ind w:right="11"/>
      <w:jc w:val="right"/>
      <w:rPr>
        <w:rFonts w:ascii="楷体_GB2312" w:eastAsia="楷体_GB2312"/>
        <w:sz w:val="28"/>
      </w:rPr>
    </w:pPr>
    <w:r>
      <w:rPr>
        <w:rStyle w:val="9"/>
        <w:rFonts w:hint="eastAsia" w:eastAsia="楷体_GB2312"/>
        <w:sz w:val="28"/>
      </w:rPr>
      <w:t xml:space="preserve">— </w:t>
    </w:r>
    <w:r>
      <w:rPr>
        <w:rFonts w:ascii="Times New Roman" w:hAnsi="Times New Roman" w:eastAsia="楷体_GB2312" w:cs="Times New Roman"/>
        <w:sz w:val="28"/>
      </w:rPr>
      <w:fldChar w:fldCharType="begin"/>
    </w:r>
    <w:r>
      <w:rPr>
        <w:rStyle w:val="9"/>
        <w:rFonts w:ascii="Times New Roman" w:hAnsi="Times New Roman" w:eastAsia="楷体_GB2312" w:cs="Times New Roman"/>
        <w:sz w:val="28"/>
      </w:rPr>
      <w:instrText xml:space="preserve"> PAGE </w:instrText>
    </w:r>
    <w:r>
      <w:rPr>
        <w:rFonts w:ascii="Times New Roman" w:hAnsi="Times New Roman" w:eastAsia="楷体_GB2312" w:cs="Times New Roman"/>
        <w:sz w:val="28"/>
      </w:rPr>
      <w:fldChar w:fldCharType="separate"/>
    </w:r>
    <w:r>
      <w:rPr>
        <w:rFonts w:ascii="Times New Roman" w:hAnsi="Times New Roman" w:eastAsia="楷体_GB2312" w:cs="Times New Roman"/>
        <w:sz w:val="28"/>
      </w:rPr>
      <w:t>1</w:t>
    </w:r>
    <w:r>
      <w:rPr>
        <w:rFonts w:ascii="Times New Roman" w:hAnsi="Times New Roman" w:eastAsia="楷体_GB2312" w:cs="Times New Roman"/>
        <w:sz w:val="28"/>
      </w:rPr>
      <w:fldChar w:fldCharType="end"/>
    </w:r>
    <w:r>
      <w:rPr>
        <w:rFonts w:hint="eastAsia" w:eastAsia="楷体_GB2312"/>
        <w:sz w:val="28"/>
      </w:rPr>
      <w:t xml:space="preserve"> </w:t>
    </w:r>
    <w:r>
      <w:rPr>
        <w:rStyle w:val="9"/>
        <w:rFonts w:hint="eastAsia" w:eastAsia="楷体_GB2312"/>
        <w:sz w:val="2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01970979"/>
      <w:docPartObj>
        <w:docPartGallery w:val="AutoText"/>
      </w:docPartObj>
    </w:sdtPr>
    <w:sdtContent>
      <w:p w14:paraId="0968921C">
        <w:pPr>
          <w:pStyle w:val="4"/>
          <w:ind w:left="320" w:leftChars="100"/>
          <w:rPr>
            <w:rFonts w:eastAsia="楷体_GB2312"/>
            <w:sz w:val="28"/>
          </w:rPr>
        </w:pPr>
        <w:r>
          <w:rPr>
            <w:rStyle w:val="9"/>
            <w:rFonts w:hint="eastAsia" w:eastAsia="楷体_GB2312"/>
            <w:sz w:val="28"/>
          </w:rPr>
          <w:t xml:space="preserve">— </w:t>
        </w:r>
        <w:r>
          <w:rPr>
            <w:rFonts w:ascii="Times New Roman" w:hAnsi="Times New Roman" w:eastAsia="楷体_GB2312" w:cs="Times New Roman"/>
            <w:sz w:val="28"/>
          </w:rPr>
          <w:fldChar w:fldCharType="begin"/>
        </w:r>
        <w:r>
          <w:rPr>
            <w:rStyle w:val="9"/>
            <w:rFonts w:ascii="Times New Roman" w:hAnsi="Times New Roman" w:eastAsia="楷体_GB2312" w:cs="Times New Roman"/>
            <w:sz w:val="28"/>
          </w:rPr>
          <w:instrText xml:space="preserve"> PAGE </w:instrText>
        </w:r>
        <w:r>
          <w:rPr>
            <w:rFonts w:ascii="Times New Roman" w:hAnsi="Times New Roman" w:eastAsia="楷体_GB2312" w:cs="Times New Roman"/>
            <w:sz w:val="28"/>
          </w:rPr>
          <w:fldChar w:fldCharType="separate"/>
        </w:r>
        <w:r>
          <w:rPr>
            <w:rFonts w:ascii="Times New Roman" w:hAnsi="Times New Roman" w:eastAsia="楷体_GB2312" w:cs="Times New Roman"/>
            <w:sz w:val="28"/>
          </w:rPr>
          <w:t>2</w:t>
        </w:r>
        <w:r>
          <w:rPr>
            <w:rFonts w:ascii="Times New Roman" w:hAnsi="Times New Roman" w:eastAsia="楷体_GB2312" w:cs="Times New Roman"/>
            <w:sz w:val="28"/>
          </w:rPr>
          <w:fldChar w:fldCharType="end"/>
        </w:r>
        <w:r>
          <w:rPr>
            <w:rFonts w:hint="eastAsia" w:eastAsia="楷体_GB2312"/>
            <w:sz w:val="28"/>
          </w:rPr>
          <w:t xml:space="preserve"> </w:t>
        </w:r>
        <w:r>
          <w:rPr>
            <w:rStyle w:val="9"/>
            <w:rFonts w:hint="eastAsia" w:eastAsia="楷体_GB2312"/>
            <w:sz w:val="28"/>
          </w:rPr>
          <w:t>—</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KGWebUrl" w:val="http://oa-pro.zjnu.edu.cn/weaver/weaver.file.FileDownloadForNews?uuid=6bb7b898-b35f-4a89-9d20-becc3c463736&amp;fileid=442883&amp;type=document&amp;isofficeview=0"/>
  </w:docVars>
  <w:rsids>
    <w:rsidRoot w:val="007A71A9"/>
    <w:rsid w:val="00033EA7"/>
    <w:rsid w:val="00090ABD"/>
    <w:rsid w:val="000C4C66"/>
    <w:rsid w:val="00111DCA"/>
    <w:rsid w:val="0018376B"/>
    <w:rsid w:val="001E3E44"/>
    <w:rsid w:val="0023353A"/>
    <w:rsid w:val="002D4483"/>
    <w:rsid w:val="00375DDB"/>
    <w:rsid w:val="003D216E"/>
    <w:rsid w:val="00411D5B"/>
    <w:rsid w:val="00502892"/>
    <w:rsid w:val="006172E5"/>
    <w:rsid w:val="00624D25"/>
    <w:rsid w:val="0067244B"/>
    <w:rsid w:val="00722458"/>
    <w:rsid w:val="007A71A9"/>
    <w:rsid w:val="00845280"/>
    <w:rsid w:val="008818FF"/>
    <w:rsid w:val="00920AF8"/>
    <w:rsid w:val="00992B26"/>
    <w:rsid w:val="009C523D"/>
    <w:rsid w:val="00AA08FD"/>
    <w:rsid w:val="00AE0ACC"/>
    <w:rsid w:val="00B7021F"/>
    <w:rsid w:val="00B73BE4"/>
    <w:rsid w:val="00C21045"/>
    <w:rsid w:val="00C51482"/>
    <w:rsid w:val="00C9265D"/>
    <w:rsid w:val="00CB5CD7"/>
    <w:rsid w:val="00D6304A"/>
    <w:rsid w:val="00DE51E4"/>
    <w:rsid w:val="00E37EDB"/>
    <w:rsid w:val="00E45A11"/>
    <w:rsid w:val="00ED4217"/>
    <w:rsid w:val="00F030F1"/>
    <w:rsid w:val="00F97249"/>
    <w:rsid w:val="54C727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240" w:lineRule="atLeast"/>
      <w:jc w:val="both"/>
    </w:pPr>
    <w:rPr>
      <w:rFonts w:ascii="Times New Roman" w:hAnsi="Times New Roman" w:eastAsia="仿宋_GB2312" w:cs="Times New Roman"/>
      <w:kern w:val="2"/>
      <w:sz w:val="32"/>
      <w:szCs w:val="20"/>
      <w:lang w:val="en-US" w:eastAsia="zh-CN" w:bidi="ar-SA"/>
    </w:rPr>
  </w:style>
  <w:style w:type="character" w:default="1" w:styleId="8">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link w:val="13"/>
    <w:semiHidden/>
    <w:unhideWhenUsed/>
    <w:uiPriority w:val="99"/>
    <w:pPr>
      <w:jc w:val="left"/>
    </w:pPr>
  </w:style>
  <w:style w:type="paragraph" w:styleId="3">
    <w:name w:val="Balloon Text"/>
    <w:basedOn w:val="1"/>
    <w:link w:val="15"/>
    <w:semiHidden/>
    <w:unhideWhenUsed/>
    <w:uiPriority w:val="99"/>
    <w:pPr>
      <w:spacing w:line="240" w:lineRule="auto"/>
    </w:pPr>
    <w:rPr>
      <w:sz w:val="18"/>
      <w:szCs w:val="18"/>
    </w:rPr>
  </w:style>
  <w:style w:type="paragraph" w:styleId="4">
    <w:name w:val="footer"/>
    <w:basedOn w:val="1"/>
    <w:link w:val="12"/>
    <w:unhideWhenUsed/>
    <w:uiPriority w:val="0"/>
    <w:pPr>
      <w:tabs>
        <w:tab w:val="center" w:pos="4153"/>
        <w:tab w:val="right" w:pos="8306"/>
      </w:tabs>
      <w:snapToGrid w:val="0"/>
      <w:spacing w:line="240" w:lineRule="auto"/>
      <w:jc w:val="left"/>
    </w:pPr>
    <w:rPr>
      <w:rFonts w:asciiTheme="minorHAnsi" w:hAnsiTheme="minorHAnsi" w:eastAsiaTheme="minorEastAsia" w:cstheme="minorBidi"/>
      <w:sz w:val="18"/>
      <w:szCs w:val="18"/>
    </w:rPr>
  </w:style>
  <w:style w:type="paragraph" w:styleId="5">
    <w:name w:val="header"/>
    <w:basedOn w:val="1"/>
    <w:link w:val="11"/>
    <w:unhideWhenUsed/>
    <w:uiPriority w:val="99"/>
    <w:pPr>
      <w:pBdr>
        <w:bottom w:val="single" w:color="auto" w:sz="6" w:space="1"/>
      </w:pBdr>
      <w:tabs>
        <w:tab w:val="center" w:pos="4153"/>
        <w:tab w:val="right" w:pos="8306"/>
      </w:tabs>
      <w:snapToGrid w:val="0"/>
      <w:spacing w:line="240" w:lineRule="auto"/>
      <w:jc w:val="center"/>
    </w:pPr>
    <w:rPr>
      <w:rFonts w:asciiTheme="minorHAnsi" w:hAnsiTheme="minorHAnsi" w:eastAsiaTheme="minorEastAsia" w:cstheme="minorBidi"/>
      <w:sz w:val="18"/>
      <w:szCs w:val="18"/>
    </w:rPr>
  </w:style>
  <w:style w:type="paragraph" w:styleId="6">
    <w:name w:val="annotation subject"/>
    <w:basedOn w:val="2"/>
    <w:next w:val="2"/>
    <w:link w:val="14"/>
    <w:semiHidden/>
    <w:unhideWhenUsed/>
    <w:uiPriority w:val="99"/>
    <w:rPr>
      <w:b/>
      <w:bCs/>
    </w:rPr>
  </w:style>
  <w:style w:type="character" w:styleId="9">
    <w:name w:val="page number"/>
    <w:basedOn w:val="8"/>
    <w:uiPriority w:val="0"/>
  </w:style>
  <w:style w:type="character" w:styleId="10">
    <w:name w:val="annotation reference"/>
    <w:basedOn w:val="8"/>
    <w:semiHidden/>
    <w:unhideWhenUsed/>
    <w:uiPriority w:val="99"/>
    <w:rPr>
      <w:sz w:val="21"/>
      <w:szCs w:val="21"/>
    </w:rPr>
  </w:style>
  <w:style w:type="character" w:customStyle="1" w:styleId="11">
    <w:name w:val="页眉 字符"/>
    <w:basedOn w:val="8"/>
    <w:link w:val="5"/>
    <w:uiPriority w:val="99"/>
    <w:rPr>
      <w:sz w:val="18"/>
      <w:szCs w:val="18"/>
    </w:rPr>
  </w:style>
  <w:style w:type="character" w:customStyle="1" w:styleId="12">
    <w:name w:val="页脚 字符"/>
    <w:basedOn w:val="8"/>
    <w:link w:val="4"/>
    <w:uiPriority w:val="99"/>
    <w:rPr>
      <w:sz w:val="18"/>
      <w:szCs w:val="18"/>
    </w:rPr>
  </w:style>
  <w:style w:type="character" w:customStyle="1" w:styleId="13">
    <w:name w:val="批注文字 字符"/>
    <w:basedOn w:val="8"/>
    <w:link w:val="2"/>
    <w:semiHidden/>
    <w:uiPriority w:val="99"/>
    <w:rPr>
      <w:rFonts w:ascii="Times New Roman" w:hAnsi="Times New Roman" w:eastAsia="仿宋_GB2312" w:cs="Times New Roman"/>
      <w:sz w:val="32"/>
      <w:szCs w:val="20"/>
    </w:rPr>
  </w:style>
  <w:style w:type="character" w:customStyle="1" w:styleId="14">
    <w:name w:val="批注主题 字符"/>
    <w:basedOn w:val="13"/>
    <w:link w:val="6"/>
    <w:semiHidden/>
    <w:uiPriority w:val="99"/>
    <w:rPr>
      <w:rFonts w:ascii="Times New Roman" w:hAnsi="Times New Roman" w:eastAsia="仿宋_GB2312" w:cs="Times New Roman"/>
      <w:b/>
      <w:bCs/>
      <w:sz w:val="32"/>
      <w:szCs w:val="20"/>
    </w:rPr>
  </w:style>
  <w:style w:type="character" w:customStyle="1" w:styleId="15">
    <w:name w:val="批注框文本 字符"/>
    <w:basedOn w:val="8"/>
    <w:link w:val="3"/>
    <w:semiHidden/>
    <w:uiPriority w:val="99"/>
    <w:rPr>
      <w:rFonts w:ascii="Times New Roman" w:hAnsi="Times New Roman" w:eastAsia="仿宋_GB2312" w:cs="Times New Roman"/>
      <w:sz w:val="18"/>
      <w:szCs w:val="18"/>
    </w:rPr>
  </w:style>
  <w:style w:type="paragraph" w:customStyle="1" w:styleId="16">
    <w:name w:val="Revision"/>
    <w:hidden/>
    <w:semiHidden/>
    <w:uiPriority w:val="99"/>
    <w:rPr>
      <w:rFonts w:ascii="Times New Roman" w:hAnsi="Times New Roman" w:eastAsia="仿宋_GB2312" w:cs="Times New Roman"/>
      <w:kern w:val="2"/>
      <w:sz w:val="32"/>
      <w:szCs w:val="20"/>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C8F840-75CE-4522-94D8-599A4E753502}">
  <ds:schemaRefs/>
</ds:datastoreItem>
</file>

<file path=docProps/app.xml><?xml version="1.0" encoding="utf-8"?>
<Properties xmlns="http://schemas.openxmlformats.org/officeDocument/2006/extended-properties" xmlns:vt="http://schemas.openxmlformats.org/officeDocument/2006/docPropsVTypes">
  <Template>Normal.dotm</Template>
  <Pages>4</Pages>
  <Words>1101</Words>
  <Characters>1146</Characters>
  <Lines>8</Lines>
  <Paragraphs>2</Paragraphs>
  <TotalTime>5</TotalTime>
  <ScaleCrop>false</ScaleCrop>
  <LinksUpToDate>false</LinksUpToDate>
  <CharactersWithSpaces>1156</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2025-06-27T01:34:00Z</dcterms:created>
  <dc:creator>艾国成</dc:creator>
  <cp:lastModifiedBy>邢晶</cp:lastModifiedBy>
  <dcterms:modified xsi:type="dcterms:W3CDTF">2025-09-16T08:23:38Z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ED973296210847589E35B6A368C03062_13</vt:lpwstr>
  </property>
</Properties>
</file>