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1AED0A3">
      <w:pPr>
        <w:spacing w:line="360" w:lineRule="auto"/>
        <w:jc w:val="center"/>
        <w:rPr>
          <w:rFonts w:hint="eastAsia" w:ascii="微软雅黑" w:hAnsi="微软雅黑" w:eastAsia="微软雅黑"/>
          <w:b/>
          <w:bCs/>
          <w:sz w:val="27"/>
          <w:szCs w:val="27"/>
        </w:rPr>
      </w:pPr>
      <w:r>
        <w:rPr>
          <w:rFonts w:hint="eastAsia" w:ascii="微软雅黑" w:hAnsi="微软雅黑" w:eastAsia="微软雅黑"/>
          <w:b/>
          <w:bCs/>
          <w:sz w:val="27"/>
          <w:szCs w:val="27"/>
        </w:rPr>
        <w:t>马克思主义学院2023级师范技能班级选拔赛的具体要求及评分细则</w:t>
      </w:r>
    </w:p>
    <w:p w14:paraId="2B90EE2E">
      <w:pPr>
        <w:spacing w:line="360" w:lineRule="auto"/>
        <w:rPr>
          <w:rFonts w:hint="eastAsia" w:ascii="微软雅黑" w:hAnsi="微软雅黑" w:eastAsia="微软雅黑" w:cs="微软雅黑"/>
          <w:b/>
          <w:bCs/>
          <w:sz w:val="24"/>
          <w:szCs w:val="28"/>
        </w:rPr>
      </w:pPr>
      <w:r>
        <w:rPr>
          <w:rFonts w:hint="eastAsia" w:ascii="微软雅黑" w:hAnsi="微软雅黑" w:eastAsia="微软雅黑" w:cs="微软雅黑"/>
          <w:b/>
          <w:bCs/>
          <w:sz w:val="24"/>
          <w:szCs w:val="28"/>
        </w:rPr>
        <w:t>一、具体要求</w:t>
      </w:r>
    </w:p>
    <w:p w14:paraId="3148DD06">
      <w:pPr>
        <w:spacing w:line="360" w:lineRule="auto"/>
        <w:rPr>
          <w:rFonts w:hint="eastAsia" w:ascii="微软雅黑" w:hAnsi="微软雅黑" w:eastAsia="微软雅黑" w:cs="微软雅黑"/>
          <w:sz w:val="24"/>
          <w:szCs w:val="28"/>
        </w:rPr>
      </w:pPr>
      <w:r>
        <w:rPr>
          <w:rFonts w:hint="eastAsia" w:ascii="微软雅黑" w:hAnsi="微软雅黑" w:eastAsia="微软雅黑" w:cs="微软雅黑"/>
          <w:sz w:val="24"/>
          <w:szCs w:val="28"/>
        </w:rPr>
        <w:t>1、比赛流程</w:t>
      </w:r>
    </w:p>
    <w:p w14:paraId="199E5CAF">
      <w:pPr>
        <w:spacing w:line="360" w:lineRule="auto"/>
        <w:ind w:firstLine="480" w:firstLineChars="200"/>
        <w:rPr>
          <w:rFonts w:hint="eastAsia" w:ascii="微软雅黑" w:hAnsi="微软雅黑" w:eastAsia="微软雅黑" w:cs="微软雅黑"/>
          <w:sz w:val="24"/>
          <w:szCs w:val="28"/>
        </w:rPr>
      </w:pPr>
      <w:r>
        <w:rPr>
          <w:rFonts w:hint="eastAsia" w:ascii="微软雅黑" w:hAnsi="微软雅黑" w:eastAsia="微软雅黑" w:cs="微软雅黑"/>
          <w:sz w:val="24"/>
          <w:szCs w:val="28"/>
        </w:rPr>
        <w:t>（1）本次比赛分为教学设计和模拟上课两个项目，且都设置高中赛道和初中两个赛道，两个赛道除框题外，其余流程均保持一致</w:t>
      </w:r>
      <w:bookmarkStart w:id="1" w:name="_GoBack"/>
      <w:bookmarkEnd w:id="1"/>
      <w:r>
        <w:rPr>
          <w:rFonts w:hint="eastAsia" w:ascii="微软雅黑" w:hAnsi="微软雅黑" w:eastAsia="微软雅黑" w:cs="微软雅黑"/>
          <w:sz w:val="24"/>
          <w:szCs w:val="28"/>
        </w:rPr>
        <w:t>。</w:t>
      </w:r>
    </w:p>
    <w:p w14:paraId="2D0F4746">
      <w:pPr>
        <w:spacing w:line="360" w:lineRule="auto"/>
        <w:ind w:firstLine="480" w:firstLineChars="200"/>
        <w:rPr>
          <w:rFonts w:hint="eastAsia" w:ascii="微软雅黑" w:hAnsi="微软雅黑" w:eastAsia="微软雅黑" w:cs="微软雅黑"/>
          <w:sz w:val="24"/>
          <w:szCs w:val="28"/>
        </w:rPr>
      </w:pPr>
      <w:r>
        <w:rPr>
          <w:rFonts w:hint="eastAsia" w:ascii="微软雅黑" w:hAnsi="微软雅黑" w:eastAsia="微软雅黑" w:cs="微软雅黑"/>
          <w:sz w:val="24"/>
          <w:szCs w:val="28"/>
        </w:rPr>
        <w:t>（2）本次比赛采取提前抽取框题的形式。选手提前抽取框题，</w:t>
      </w:r>
      <w:r>
        <w:rPr>
          <w:rFonts w:hint="eastAsia" w:ascii="微软雅黑" w:hAnsi="微软雅黑" w:eastAsia="微软雅黑" w:cs="宋体"/>
          <w:color w:val="333333"/>
          <w:kern w:val="0"/>
          <w:sz w:val="24"/>
          <w:szCs w:val="24"/>
          <w14:ligatures w14:val="none"/>
        </w:rPr>
        <w:t>任选整框或其中一目</w:t>
      </w:r>
      <w:r>
        <w:rPr>
          <w:rFonts w:hint="eastAsia" w:ascii="微软雅黑" w:hAnsi="微软雅黑" w:eastAsia="微软雅黑" w:cs="微软雅黑"/>
          <w:sz w:val="24"/>
          <w:szCs w:val="28"/>
        </w:rPr>
        <w:t>进行备课，撰写完整的教学设计。教学设计由师范委员收集后在4月28日前交给学习部，再统一交于评委打分，计算平均分后作为此项目得分。</w:t>
      </w:r>
    </w:p>
    <w:p w14:paraId="7D77B47D">
      <w:pPr>
        <w:spacing w:line="360" w:lineRule="auto"/>
        <w:ind w:firstLine="480" w:firstLineChars="200"/>
        <w:rPr>
          <w:rFonts w:hint="eastAsia" w:ascii="微软雅黑" w:hAnsi="微软雅黑" w:eastAsia="微软雅黑" w:cs="微软雅黑"/>
          <w:sz w:val="24"/>
          <w:szCs w:val="28"/>
        </w:rPr>
      </w:pPr>
      <w:r>
        <w:rPr>
          <w:rFonts w:hint="eastAsia" w:ascii="微软雅黑" w:hAnsi="微软雅黑" w:eastAsia="微软雅黑" w:cs="微软雅黑"/>
          <w:sz w:val="24"/>
          <w:szCs w:val="28"/>
        </w:rPr>
        <w:t>（3）模拟上课项目比赛当天，根据此前所撰写的教学设计，进行模拟上课，时间不超过15分钟，超时将扣除1分。模拟上课由评委现场打分，计算平均分后作为此项目得分。</w:t>
      </w:r>
    </w:p>
    <w:p w14:paraId="15FF4B1B">
      <w:pPr>
        <w:spacing w:line="360" w:lineRule="auto"/>
        <w:rPr>
          <w:rFonts w:hint="eastAsia" w:ascii="微软雅黑" w:hAnsi="微软雅黑" w:eastAsia="微软雅黑" w:cs="微软雅黑"/>
          <w:sz w:val="24"/>
          <w:szCs w:val="28"/>
        </w:rPr>
      </w:pPr>
      <w:r>
        <w:rPr>
          <w:rFonts w:hint="eastAsia" w:ascii="微软雅黑" w:hAnsi="微软雅黑" w:eastAsia="微软雅黑" w:cs="微软雅黑"/>
          <w:sz w:val="24"/>
          <w:szCs w:val="28"/>
        </w:rPr>
        <w:t>2、注意事项</w:t>
      </w:r>
    </w:p>
    <w:p w14:paraId="1DE8E9C7">
      <w:pPr>
        <w:spacing w:line="360" w:lineRule="auto"/>
        <w:ind w:firstLine="480" w:firstLineChars="200"/>
        <w:rPr>
          <w:rFonts w:hint="eastAsia" w:ascii="微软雅黑" w:hAnsi="微软雅黑" w:eastAsia="微软雅黑" w:cs="微软雅黑"/>
          <w:sz w:val="24"/>
          <w:szCs w:val="28"/>
        </w:rPr>
      </w:pPr>
      <w:r>
        <w:rPr>
          <w:rFonts w:hint="eastAsia" w:ascii="微软雅黑" w:hAnsi="微软雅黑" w:eastAsia="微软雅黑" w:cs="微软雅黑"/>
          <w:sz w:val="24"/>
          <w:szCs w:val="28"/>
        </w:rPr>
        <w:t>（1）初中赛道教材框题详见附件二，高中赛道教材框题详见附件三。</w:t>
      </w:r>
    </w:p>
    <w:p w14:paraId="703659AE">
      <w:pPr>
        <w:spacing w:line="360" w:lineRule="auto"/>
        <w:ind w:firstLine="480" w:firstLineChars="200"/>
        <w:rPr>
          <w:rFonts w:hint="eastAsia" w:ascii="微软雅黑" w:hAnsi="微软雅黑" w:eastAsia="微软雅黑" w:cs="微软雅黑"/>
          <w:sz w:val="24"/>
          <w:szCs w:val="28"/>
        </w:rPr>
      </w:pPr>
      <w:r>
        <w:rPr>
          <w:rFonts w:hint="eastAsia" w:ascii="微软雅黑" w:hAnsi="微软雅黑" w:eastAsia="微软雅黑" w:cs="微软雅黑"/>
          <w:sz w:val="24"/>
          <w:szCs w:val="28"/>
        </w:rPr>
        <w:t>（2）比赛由各班师范委员自发组织，需于3月31日前为班级设计具体方案，方案可参考上述提供的流程自行调整。</w:t>
      </w:r>
    </w:p>
    <w:p w14:paraId="2B983C2C">
      <w:pPr>
        <w:spacing w:line="360" w:lineRule="auto"/>
        <w:ind w:firstLine="480" w:firstLineChars="200"/>
        <w:rPr>
          <w:rFonts w:hint="eastAsia" w:ascii="微软雅黑" w:hAnsi="微软雅黑" w:eastAsia="微软雅黑" w:cs="微软雅黑"/>
          <w:sz w:val="24"/>
          <w:szCs w:val="28"/>
        </w:rPr>
      </w:pPr>
      <w:r>
        <w:rPr>
          <w:rFonts w:hint="eastAsia" w:ascii="微软雅黑" w:hAnsi="微软雅黑" w:eastAsia="微软雅黑" w:cs="微软雅黑"/>
          <w:sz w:val="24"/>
          <w:szCs w:val="28"/>
        </w:rPr>
        <w:t>（3）模拟上课项目需自行邀请至少2位评委，但不可邀请选手作为此项目评委。</w:t>
      </w:r>
    </w:p>
    <w:p w14:paraId="6EE45FA6">
      <w:pPr>
        <w:spacing w:line="360" w:lineRule="auto"/>
        <w:ind w:firstLine="480" w:firstLineChars="200"/>
        <w:rPr>
          <w:rFonts w:hint="eastAsia" w:ascii="微软雅黑" w:hAnsi="微软雅黑" w:eastAsia="微软雅黑" w:cs="微软雅黑"/>
          <w:sz w:val="24"/>
          <w:szCs w:val="28"/>
        </w:rPr>
      </w:pPr>
      <w:r>
        <w:rPr>
          <w:rFonts w:hint="eastAsia" w:ascii="微软雅黑" w:hAnsi="微软雅黑" w:eastAsia="微软雅黑" w:cs="微软雅黑"/>
          <w:sz w:val="24"/>
          <w:szCs w:val="28"/>
        </w:rPr>
        <w:t>（4）师范委员需及时记录本班选手在模拟上课项目中所得的分数。</w:t>
      </w:r>
    </w:p>
    <w:p w14:paraId="6A3832A1">
      <w:pPr>
        <w:spacing w:line="360" w:lineRule="auto"/>
        <w:ind w:firstLine="480" w:firstLineChars="200"/>
        <w:rPr>
          <w:rFonts w:hint="eastAsia" w:ascii="微软雅黑" w:hAnsi="微软雅黑" w:eastAsia="微软雅黑" w:cs="微软雅黑"/>
          <w:sz w:val="24"/>
          <w:szCs w:val="28"/>
        </w:rPr>
      </w:pPr>
      <w:r>
        <w:rPr>
          <w:rFonts w:hint="eastAsia" w:ascii="微软雅黑" w:hAnsi="微软雅黑" w:eastAsia="微软雅黑" w:cs="微软雅黑"/>
          <w:sz w:val="24"/>
          <w:szCs w:val="28"/>
        </w:rPr>
        <w:t>（5）选手参赛内容需保持原创性，一旦发现有作弊、抄袭等行为，将取消比赛成绩，并予以通报批评。</w:t>
      </w:r>
    </w:p>
    <w:p w14:paraId="5DAEDF51">
      <w:pPr>
        <w:spacing w:line="360" w:lineRule="auto"/>
        <w:rPr>
          <w:rFonts w:hint="eastAsia" w:ascii="微软雅黑" w:hAnsi="微软雅黑" w:eastAsia="微软雅黑" w:cs="微软雅黑"/>
          <w:b/>
          <w:bCs/>
          <w:sz w:val="24"/>
          <w:szCs w:val="28"/>
        </w:rPr>
      </w:pPr>
      <w:r>
        <w:rPr>
          <w:rFonts w:hint="eastAsia" w:ascii="微软雅黑" w:hAnsi="微软雅黑" w:eastAsia="微软雅黑" w:cs="微软雅黑"/>
          <w:b/>
          <w:bCs/>
          <w:sz w:val="24"/>
          <w:szCs w:val="28"/>
        </w:rPr>
        <w:t>二、模拟上课评分细则</w:t>
      </w:r>
    </w:p>
    <w:p w14:paraId="5ACD91DA">
      <w:pPr>
        <w:spacing w:line="360" w:lineRule="auto"/>
        <w:ind w:firstLine="480" w:firstLineChars="200"/>
        <w:rPr>
          <w:rFonts w:hint="eastAsia" w:ascii="微软雅黑" w:hAnsi="微软雅黑" w:eastAsia="微软雅黑" w:cs="微软雅黑"/>
          <w:sz w:val="24"/>
          <w:szCs w:val="28"/>
        </w:rPr>
      </w:pPr>
      <w:r>
        <w:rPr>
          <w:rFonts w:hint="eastAsia" w:ascii="微软雅黑" w:hAnsi="微软雅黑" w:eastAsia="微软雅黑" w:cs="微软雅黑"/>
          <w:sz w:val="24"/>
          <w:szCs w:val="28"/>
        </w:rPr>
        <w:t>模拟上课是参赛者依据抽取的框题，自主选择整框或其中一目模拟上课。应能够突出新课程理念，展示驾驭课堂教学的艺术，体现创新精神和课堂教学研究的能力。板书在模拟上课过程中呈现。</w:t>
      </w:r>
    </w:p>
    <w:p w14:paraId="6C00E86E">
      <w:pPr>
        <w:ind w:firstLine="480" w:firstLineChars="200"/>
        <w:rPr>
          <w:rFonts w:hint="eastAsia" w:ascii="微软雅黑" w:hAnsi="微软雅黑" w:eastAsia="微软雅黑" w:cs="微软雅黑"/>
          <w:sz w:val="24"/>
          <w:szCs w:val="28"/>
        </w:rPr>
      </w:pPr>
      <w:r>
        <w:rPr>
          <w:rFonts w:hint="eastAsia" w:ascii="微软雅黑" w:hAnsi="微软雅黑" w:eastAsia="微软雅黑" w:cs="微软雅黑"/>
          <w:sz w:val="24"/>
          <w:szCs w:val="28"/>
        </w:rPr>
        <w:t>模拟上课评价标准见下表。</w:t>
      </w:r>
    </w:p>
    <w:p w14:paraId="7F8A6543">
      <w:pPr>
        <w:ind w:firstLine="480" w:firstLineChars="200"/>
        <w:jc w:val="center"/>
        <w:rPr>
          <w:rFonts w:hint="eastAsia" w:ascii="微软雅黑" w:hAnsi="微软雅黑" w:eastAsia="微软雅黑" w:cs="微软雅黑"/>
          <w:b/>
          <w:bCs/>
          <w:sz w:val="24"/>
          <w:szCs w:val="28"/>
        </w:rPr>
      </w:pPr>
      <w:r>
        <w:rPr>
          <w:rFonts w:hint="eastAsia" w:ascii="微软雅黑" w:hAnsi="微软雅黑" w:eastAsia="微软雅黑" w:cs="微软雅黑"/>
          <w:b/>
          <w:bCs/>
          <w:sz w:val="24"/>
          <w:szCs w:val="28"/>
        </w:rPr>
        <w:t>马克思主义学院2023级师范技能班级选拔赛评分细则</w:t>
      </w:r>
    </w:p>
    <w:tbl>
      <w:tblPr>
        <w:tblStyle w:val="5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88"/>
        <w:gridCol w:w="1417"/>
        <w:gridCol w:w="4961"/>
        <w:gridCol w:w="930"/>
      </w:tblGrid>
      <w:tr w14:paraId="0136B4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9" w:hRule="atLeast"/>
          <w:jc w:val="center"/>
        </w:trPr>
        <w:tc>
          <w:tcPr>
            <w:tcW w:w="988" w:type="dxa"/>
            <w:vAlign w:val="center"/>
          </w:tcPr>
          <w:p w14:paraId="71CCFAF1">
            <w:pPr>
              <w:jc w:val="center"/>
              <w:rPr>
                <w:rFonts w:hint="eastAsia" w:ascii="黑体" w:hAnsi="黑体" w:eastAsia="黑体"/>
                <w:szCs w:val="21"/>
              </w:rPr>
            </w:pPr>
            <w:bookmarkStart w:id="0" w:name="OLE_LINK1"/>
            <w:r>
              <w:rPr>
                <w:rFonts w:hint="eastAsia" w:ascii="黑体" w:hAnsi="黑体" w:eastAsia="黑体"/>
                <w:szCs w:val="21"/>
              </w:rPr>
              <w:t>项目</w:t>
            </w:r>
          </w:p>
        </w:tc>
        <w:tc>
          <w:tcPr>
            <w:tcW w:w="1417" w:type="dxa"/>
            <w:vAlign w:val="center"/>
          </w:tcPr>
          <w:p w14:paraId="5FC3D30E">
            <w:pPr>
              <w:jc w:val="center"/>
              <w:rPr>
                <w:rFonts w:hint="eastAsia" w:ascii="黑体" w:hAnsi="黑体" w:eastAsia="黑体"/>
                <w:szCs w:val="21"/>
              </w:rPr>
            </w:pPr>
            <w:r>
              <w:rPr>
                <w:rFonts w:hint="eastAsia" w:ascii="黑体" w:hAnsi="黑体" w:eastAsia="黑体"/>
                <w:szCs w:val="21"/>
              </w:rPr>
              <w:t>评价内容</w:t>
            </w:r>
          </w:p>
        </w:tc>
        <w:tc>
          <w:tcPr>
            <w:tcW w:w="4961" w:type="dxa"/>
            <w:vAlign w:val="center"/>
          </w:tcPr>
          <w:p w14:paraId="7684A250">
            <w:pPr>
              <w:jc w:val="center"/>
              <w:rPr>
                <w:rFonts w:hint="eastAsia" w:ascii="黑体" w:hAnsi="黑体" w:eastAsia="黑体"/>
                <w:szCs w:val="21"/>
              </w:rPr>
            </w:pPr>
            <w:r>
              <w:rPr>
                <w:rFonts w:hint="eastAsia" w:ascii="黑体" w:hAnsi="黑体" w:eastAsia="黑体"/>
                <w:szCs w:val="21"/>
              </w:rPr>
              <w:t>评 价 标 准</w:t>
            </w:r>
          </w:p>
        </w:tc>
        <w:tc>
          <w:tcPr>
            <w:tcW w:w="930" w:type="dxa"/>
            <w:vAlign w:val="center"/>
          </w:tcPr>
          <w:p w14:paraId="5953DC49">
            <w:pPr>
              <w:jc w:val="center"/>
              <w:rPr>
                <w:rFonts w:hint="eastAsia" w:ascii="黑体" w:hAnsi="黑体" w:eastAsia="黑体"/>
                <w:szCs w:val="21"/>
              </w:rPr>
            </w:pPr>
            <w:r>
              <w:rPr>
                <w:rFonts w:hint="eastAsia" w:ascii="黑体" w:hAnsi="黑体" w:eastAsia="黑体"/>
                <w:szCs w:val="21"/>
              </w:rPr>
              <w:t>分值</w:t>
            </w:r>
          </w:p>
        </w:tc>
      </w:tr>
      <w:tr w14:paraId="502EE4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8" w:hRule="atLeast"/>
          <w:jc w:val="center"/>
        </w:trPr>
        <w:tc>
          <w:tcPr>
            <w:tcW w:w="988" w:type="dxa"/>
            <w:vMerge w:val="restart"/>
            <w:vAlign w:val="center"/>
          </w:tcPr>
          <w:p w14:paraId="2AC53BAF">
            <w:pPr>
              <w:jc w:val="center"/>
              <w:rPr>
                <w:rFonts w:hint="eastAsia" w:ascii="黑体" w:hAnsi="黑体" w:eastAsia="黑体"/>
                <w:szCs w:val="21"/>
              </w:rPr>
            </w:pPr>
          </w:p>
          <w:p w14:paraId="6B8F614B">
            <w:pPr>
              <w:jc w:val="center"/>
              <w:rPr>
                <w:rFonts w:hint="eastAsia" w:ascii="黑体" w:hAnsi="黑体" w:eastAsia="黑体"/>
                <w:szCs w:val="21"/>
              </w:rPr>
            </w:pPr>
            <w:r>
              <w:rPr>
                <w:rFonts w:hint="eastAsia" w:ascii="黑体" w:hAnsi="黑体" w:eastAsia="黑体"/>
                <w:szCs w:val="21"/>
              </w:rPr>
              <w:t>模拟</w:t>
            </w:r>
          </w:p>
          <w:p w14:paraId="769472D7">
            <w:pPr>
              <w:jc w:val="center"/>
              <w:rPr>
                <w:rFonts w:hint="eastAsia" w:ascii="黑体" w:hAnsi="黑体" w:eastAsia="黑体"/>
                <w:szCs w:val="21"/>
              </w:rPr>
            </w:pPr>
          </w:p>
          <w:p w14:paraId="38069C9D">
            <w:pPr>
              <w:jc w:val="center"/>
              <w:rPr>
                <w:rFonts w:hint="eastAsia" w:ascii="黑体" w:hAnsi="黑体" w:eastAsia="黑体"/>
                <w:szCs w:val="21"/>
              </w:rPr>
            </w:pPr>
            <w:r>
              <w:rPr>
                <w:rFonts w:hint="eastAsia" w:ascii="黑体" w:hAnsi="黑体" w:eastAsia="黑体"/>
                <w:szCs w:val="21"/>
              </w:rPr>
              <w:t>上课</w:t>
            </w:r>
          </w:p>
          <w:p w14:paraId="70B30C46">
            <w:pPr>
              <w:jc w:val="center"/>
              <w:rPr>
                <w:rFonts w:hint="eastAsia" w:ascii="黑体" w:hAnsi="黑体" w:eastAsia="黑体"/>
                <w:szCs w:val="21"/>
              </w:rPr>
            </w:pPr>
          </w:p>
          <w:p w14:paraId="1FEAC015">
            <w:pPr>
              <w:jc w:val="center"/>
              <w:rPr>
                <w:rFonts w:hint="eastAsia" w:ascii="黑体" w:hAnsi="黑体" w:eastAsia="黑体"/>
                <w:szCs w:val="21"/>
              </w:rPr>
            </w:pPr>
            <w:r>
              <w:rPr>
                <w:rFonts w:hint="eastAsia" w:ascii="黑体" w:hAnsi="黑体" w:eastAsia="黑体"/>
                <w:szCs w:val="21"/>
              </w:rPr>
              <w:t>80分</w:t>
            </w:r>
          </w:p>
        </w:tc>
        <w:tc>
          <w:tcPr>
            <w:tcW w:w="1417" w:type="dxa"/>
            <w:vAlign w:val="center"/>
          </w:tcPr>
          <w:p w14:paraId="60360A67">
            <w:pPr>
              <w:spacing w:line="480" w:lineRule="auto"/>
              <w:jc w:val="center"/>
              <w:rPr>
                <w:rFonts w:hint="eastAsia" w:ascii="黑体" w:hAnsi="黑体" w:eastAsia="黑体"/>
                <w:szCs w:val="21"/>
              </w:rPr>
            </w:pPr>
            <w:r>
              <w:rPr>
                <w:rFonts w:ascii="黑体" w:hAnsi="黑体" w:eastAsia="黑体"/>
                <w:szCs w:val="21"/>
              </w:rPr>
              <w:t>教学目标</w:t>
            </w:r>
          </w:p>
        </w:tc>
        <w:tc>
          <w:tcPr>
            <w:tcW w:w="4961" w:type="dxa"/>
            <w:vAlign w:val="center"/>
          </w:tcPr>
          <w:p w14:paraId="1439E99D">
            <w:pPr>
              <w:jc w:val="center"/>
              <w:rPr>
                <w:rFonts w:hint="eastAsia" w:ascii="黑体" w:hAnsi="黑体" w:eastAsia="黑体"/>
                <w:szCs w:val="21"/>
              </w:rPr>
            </w:pPr>
            <w:r>
              <w:rPr>
                <w:rFonts w:hint="eastAsia" w:ascii="黑体" w:hAnsi="黑体" w:eastAsia="黑体"/>
                <w:szCs w:val="21"/>
              </w:rPr>
              <w:t>目标设置明确，符合课标要求和学生实际</w:t>
            </w:r>
          </w:p>
        </w:tc>
        <w:tc>
          <w:tcPr>
            <w:tcW w:w="930" w:type="dxa"/>
            <w:vAlign w:val="center"/>
          </w:tcPr>
          <w:p w14:paraId="0CC3D77F">
            <w:pPr>
              <w:jc w:val="center"/>
              <w:rPr>
                <w:rFonts w:hint="eastAsia" w:ascii="黑体" w:hAnsi="黑体" w:eastAsia="黑体"/>
                <w:szCs w:val="21"/>
              </w:rPr>
            </w:pPr>
            <w:r>
              <w:rPr>
                <w:rFonts w:hint="eastAsia" w:ascii="黑体" w:hAnsi="黑体" w:eastAsia="黑体"/>
                <w:szCs w:val="21"/>
              </w:rPr>
              <w:t>10</w:t>
            </w:r>
          </w:p>
        </w:tc>
      </w:tr>
      <w:tr w14:paraId="1C8D91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41" w:hRule="atLeast"/>
          <w:jc w:val="center"/>
        </w:trPr>
        <w:tc>
          <w:tcPr>
            <w:tcW w:w="988" w:type="dxa"/>
            <w:vMerge w:val="continue"/>
            <w:vAlign w:val="center"/>
          </w:tcPr>
          <w:p w14:paraId="31F17F6E">
            <w:pPr>
              <w:jc w:val="center"/>
              <w:rPr>
                <w:rFonts w:hint="eastAsia" w:ascii="黑体" w:hAnsi="黑体" w:eastAsia="黑体"/>
                <w:szCs w:val="21"/>
              </w:rPr>
            </w:pPr>
          </w:p>
        </w:tc>
        <w:tc>
          <w:tcPr>
            <w:tcW w:w="1417" w:type="dxa"/>
            <w:vAlign w:val="center"/>
          </w:tcPr>
          <w:p w14:paraId="72221E4A">
            <w:pPr>
              <w:spacing w:line="480" w:lineRule="auto"/>
              <w:jc w:val="center"/>
              <w:rPr>
                <w:rFonts w:hint="eastAsia" w:ascii="黑体" w:hAnsi="黑体" w:eastAsia="黑体"/>
                <w:szCs w:val="21"/>
              </w:rPr>
            </w:pPr>
            <w:r>
              <w:rPr>
                <w:rFonts w:ascii="黑体" w:hAnsi="黑体" w:eastAsia="黑体"/>
                <w:szCs w:val="21"/>
              </w:rPr>
              <w:t>教学内容</w:t>
            </w:r>
          </w:p>
        </w:tc>
        <w:tc>
          <w:tcPr>
            <w:tcW w:w="4961" w:type="dxa"/>
            <w:vAlign w:val="center"/>
          </w:tcPr>
          <w:p w14:paraId="21F0FB84">
            <w:pPr>
              <w:jc w:val="center"/>
              <w:rPr>
                <w:rFonts w:hint="eastAsia" w:ascii="黑体" w:hAnsi="黑体" w:eastAsia="黑体"/>
                <w:szCs w:val="21"/>
              </w:rPr>
            </w:pPr>
            <w:r>
              <w:rPr>
                <w:rFonts w:hint="eastAsia" w:ascii="黑体" w:hAnsi="黑体" w:eastAsia="黑体"/>
                <w:szCs w:val="21"/>
              </w:rPr>
              <w:t>重点内容讲解明白，教学难点处理恰当，关注学生已有知识和经验，注重学生能力培养，强调课堂交流互动，知识阐释正确</w:t>
            </w:r>
          </w:p>
        </w:tc>
        <w:tc>
          <w:tcPr>
            <w:tcW w:w="930" w:type="dxa"/>
            <w:vAlign w:val="center"/>
          </w:tcPr>
          <w:p w14:paraId="34EDA988">
            <w:pPr>
              <w:jc w:val="center"/>
              <w:rPr>
                <w:rFonts w:hint="eastAsia" w:ascii="黑体" w:hAnsi="黑体" w:eastAsia="黑体"/>
                <w:szCs w:val="21"/>
              </w:rPr>
            </w:pPr>
            <w:r>
              <w:rPr>
                <w:rFonts w:hint="eastAsia" w:ascii="黑体" w:hAnsi="黑体" w:eastAsia="黑体"/>
                <w:szCs w:val="21"/>
              </w:rPr>
              <w:t>12</w:t>
            </w:r>
          </w:p>
        </w:tc>
      </w:tr>
      <w:tr w14:paraId="5AC1BD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5" w:hRule="atLeast"/>
          <w:jc w:val="center"/>
        </w:trPr>
        <w:tc>
          <w:tcPr>
            <w:tcW w:w="988" w:type="dxa"/>
            <w:vMerge w:val="continue"/>
            <w:vAlign w:val="center"/>
          </w:tcPr>
          <w:p w14:paraId="21696560">
            <w:pPr>
              <w:jc w:val="center"/>
              <w:rPr>
                <w:rFonts w:hint="eastAsia" w:ascii="黑体" w:hAnsi="黑体" w:eastAsia="黑体"/>
                <w:szCs w:val="21"/>
              </w:rPr>
            </w:pPr>
          </w:p>
        </w:tc>
        <w:tc>
          <w:tcPr>
            <w:tcW w:w="1417" w:type="dxa"/>
            <w:vAlign w:val="center"/>
          </w:tcPr>
          <w:p w14:paraId="6362DDE7">
            <w:pPr>
              <w:spacing w:line="480" w:lineRule="auto"/>
              <w:jc w:val="center"/>
              <w:rPr>
                <w:rFonts w:hint="eastAsia" w:ascii="黑体" w:hAnsi="黑体" w:eastAsia="黑体"/>
                <w:szCs w:val="21"/>
              </w:rPr>
            </w:pPr>
            <w:r>
              <w:rPr>
                <w:rFonts w:ascii="黑体" w:hAnsi="黑体" w:eastAsia="黑体"/>
                <w:szCs w:val="21"/>
              </w:rPr>
              <w:t>教学方法</w:t>
            </w:r>
          </w:p>
        </w:tc>
        <w:tc>
          <w:tcPr>
            <w:tcW w:w="4961" w:type="dxa"/>
            <w:vAlign w:val="center"/>
          </w:tcPr>
          <w:p w14:paraId="62E7D270">
            <w:pPr>
              <w:jc w:val="center"/>
              <w:rPr>
                <w:rFonts w:hint="eastAsia" w:ascii="黑体" w:hAnsi="黑体" w:eastAsia="黑体"/>
                <w:szCs w:val="21"/>
              </w:rPr>
            </w:pPr>
            <w:r>
              <w:rPr>
                <w:rFonts w:hint="eastAsia" w:ascii="黑体" w:hAnsi="黑体" w:eastAsia="黑体"/>
                <w:szCs w:val="21"/>
              </w:rPr>
              <w:t>按新课标的教学理念处理教学内容以及教与学、知识与能力的关系，较好落实教学目标；突出自主、探究、合作学习方式，体现多元化学习方法；实现有效师生互动</w:t>
            </w:r>
          </w:p>
        </w:tc>
        <w:tc>
          <w:tcPr>
            <w:tcW w:w="930" w:type="dxa"/>
            <w:vAlign w:val="center"/>
          </w:tcPr>
          <w:p w14:paraId="728105A0">
            <w:pPr>
              <w:jc w:val="center"/>
              <w:rPr>
                <w:rFonts w:hint="eastAsia" w:ascii="黑体" w:hAnsi="黑体" w:eastAsia="黑体"/>
                <w:szCs w:val="21"/>
              </w:rPr>
            </w:pPr>
            <w:r>
              <w:rPr>
                <w:rFonts w:hint="eastAsia" w:ascii="黑体" w:hAnsi="黑体" w:eastAsia="黑体"/>
                <w:szCs w:val="21"/>
              </w:rPr>
              <w:t>12</w:t>
            </w:r>
          </w:p>
        </w:tc>
      </w:tr>
      <w:tr w14:paraId="09BFD1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45" w:hRule="atLeast"/>
          <w:jc w:val="center"/>
        </w:trPr>
        <w:tc>
          <w:tcPr>
            <w:tcW w:w="988" w:type="dxa"/>
            <w:vMerge w:val="continue"/>
            <w:vAlign w:val="center"/>
          </w:tcPr>
          <w:p w14:paraId="7E079C8D">
            <w:pPr>
              <w:jc w:val="center"/>
              <w:rPr>
                <w:rFonts w:hint="eastAsia" w:ascii="黑体" w:hAnsi="黑体" w:eastAsia="黑体"/>
                <w:szCs w:val="21"/>
              </w:rPr>
            </w:pPr>
          </w:p>
        </w:tc>
        <w:tc>
          <w:tcPr>
            <w:tcW w:w="1417" w:type="dxa"/>
            <w:vAlign w:val="center"/>
          </w:tcPr>
          <w:p w14:paraId="468461F7">
            <w:pPr>
              <w:spacing w:line="480" w:lineRule="auto"/>
              <w:jc w:val="center"/>
              <w:rPr>
                <w:rFonts w:hint="eastAsia" w:ascii="黑体" w:hAnsi="黑体" w:eastAsia="黑体"/>
                <w:szCs w:val="21"/>
              </w:rPr>
            </w:pPr>
            <w:r>
              <w:rPr>
                <w:rFonts w:ascii="黑体" w:hAnsi="黑体" w:eastAsia="黑体"/>
                <w:szCs w:val="21"/>
              </w:rPr>
              <w:t>教学过程</w:t>
            </w:r>
          </w:p>
        </w:tc>
        <w:tc>
          <w:tcPr>
            <w:tcW w:w="4961" w:type="dxa"/>
            <w:vAlign w:val="center"/>
          </w:tcPr>
          <w:p w14:paraId="5FAF0B48">
            <w:pPr>
              <w:jc w:val="center"/>
              <w:rPr>
                <w:rFonts w:hint="eastAsia" w:ascii="黑体" w:hAnsi="黑体" w:eastAsia="黑体"/>
                <w:szCs w:val="21"/>
              </w:rPr>
            </w:pPr>
            <w:r>
              <w:rPr>
                <w:rFonts w:hint="eastAsia" w:ascii="黑体" w:hAnsi="黑体" w:eastAsia="黑体"/>
                <w:szCs w:val="21"/>
              </w:rPr>
              <w:t>教学整体安排合理，环节紧凑，层次清晰；创造性使用教材；教学特色突出；恰当使用多媒体课件辅助教学，教学演示规范</w:t>
            </w:r>
          </w:p>
        </w:tc>
        <w:tc>
          <w:tcPr>
            <w:tcW w:w="930" w:type="dxa"/>
            <w:vAlign w:val="center"/>
          </w:tcPr>
          <w:p w14:paraId="5950BF18">
            <w:pPr>
              <w:jc w:val="center"/>
              <w:rPr>
                <w:rFonts w:hint="eastAsia" w:ascii="黑体" w:hAnsi="黑体" w:eastAsia="黑体"/>
                <w:szCs w:val="21"/>
              </w:rPr>
            </w:pPr>
            <w:r>
              <w:rPr>
                <w:rFonts w:hint="eastAsia" w:ascii="黑体" w:hAnsi="黑体" w:eastAsia="黑体"/>
                <w:szCs w:val="21"/>
              </w:rPr>
              <w:t>15</w:t>
            </w:r>
          </w:p>
        </w:tc>
      </w:tr>
      <w:tr w14:paraId="4D4A76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8" w:hRule="atLeast"/>
          <w:jc w:val="center"/>
        </w:trPr>
        <w:tc>
          <w:tcPr>
            <w:tcW w:w="988" w:type="dxa"/>
            <w:vMerge w:val="continue"/>
            <w:vAlign w:val="center"/>
          </w:tcPr>
          <w:p w14:paraId="1EE0E717">
            <w:pPr>
              <w:jc w:val="center"/>
              <w:rPr>
                <w:rFonts w:hint="eastAsia" w:ascii="黑体" w:hAnsi="黑体" w:eastAsia="黑体"/>
                <w:szCs w:val="21"/>
              </w:rPr>
            </w:pPr>
          </w:p>
        </w:tc>
        <w:tc>
          <w:tcPr>
            <w:tcW w:w="1417" w:type="dxa"/>
            <w:vAlign w:val="center"/>
          </w:tcPr>
          <w:p w14:paraId="5AD420FE">
            <w:pPr>
              <w:spacing w:line="480" w:lineRule="auto"/>
              <w:jc w:val="center"/>
              <w:rPr>
                <w:rFonts w:hint="eastAsia" w:ascii="黑体" w:hAnsi="黑体" w:eastAsia="黑体"/>
                <w:szCs w:val="21"/>
              </w:rPr>
            </w:pPr>
            <w:r>
              <w:rPr>
                <w:rFonts w:ascii="黑体" w:hAnsi="黑体" w:eastAsia="黑体"/>
                <w:szCs w:val="21"/>
              </w:rPr>
              <w:t>教学素质</w:t>
            </w:r>
          </w:p>
        </w:tc>
        <w:tc>
          <w:tcPr>
            <w:tcW w:w="4961" w:type="dxa"/>
            <w:vAlign w:val="center"/>
          </w:tcPr>
          <w:p w14:paraId="17029D26">
            <w:pPr>
              <w:jc w:val="center"/>
              <w:rPr>
                <w:rFonts w:hint="eastAsia" w:ascii="黑体" w:hAnsi="黑体" w:eastAsia="黑体"/>
                <w:szCs w:val="21"/>
              </w:rPr>
            </w:pPr>
            <w:r>
              <w:rPr>
                <w:rFonts w:hint="eastAsia" w:ascii="黑体" w:hAnsi="黑体" w:eastAsia="黑体"/>
                <w:szCs w:val="21"/>
              </w:rPr>
              <w:t>教态自然亲切、仪表举止得体，注重目光交流，教学语言规范准确、生动简洁</w:t>
            </w:r>
          </w:p>
        </w:tc>
        <w:tc>
          <w:tcPr>
            <w:tcW w:w="930" w:type="dxa"/>
            <w:vAlign w:val="center"/>
          </w:tcPr>
          <w:p w14:paraId="5A536B5B">
            <w:pPr>
              <w:jc w:val="center"/>
              <w:rPr>
                <w:rFonts w:hint="eastAsia" w:ascii="黑体" w:hAnsi="黑体" w:eastAsia="黑体"/>
                <w:szCs w:val="21"/>
              </w:rPr>
            </w:pPr>
            <w:r>
              <w:rPr>
                <w:rFonts w:hint="eastAsia" w:ascii="黑体" w:hAnsi="黑体" w:eastAsia="黑体"/>
                <w:szCs w:val="21"/>
              </w:rPr>
              <w:t>11</w:t>
            </w:r>
          </w:p>
        </w:tc>
      </w:tr>
      <w:tr w14:paraId="7A769D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2" w:hRule="atLeast"/>
          <w:jc w:val="center"/>
        </w:trPr>
        <w:tc>
          <w:tcPr>
            <w:tcW w:w="988" w:type="dxa"/>
            <w:vMerge w:val="continue"/>
            <w:vAlign w:val="center"/>
          </w:tcPr>
          <w:p w14:paraId="3CBF29AB">
            <w:pPr>
              <w:jc w:val="center"/>
              <w:rPr>
                <w:rFonts w:hint="eastAsia" w:ascii="黑体" w:hAnsi="黑体" w:eastAsia="黑体"/>
                <w:szCs w:val="21"/>
              </w:rPr>
            </w:pPr>
          </w:p>
        </w:tc>
        <w:tc>
          <w:tcPr>
            <w:tcW w:w="1417" w:type="dxa"/>
            <w:vAlign w:val="center"/>
          </w:tcPr>
          <w:p w14:paraId="76F1BC4F">
            <w:pPr>
              <w:spacing w:line="480" w:lineRule="auto"/>
              <w:jc w:val="center"/>
              <w:rPr>
                <w:rFonts w:hint="eastAsia" w:ascii="黑体" w:hAnsi="黑体" w:eastAsia="黑体"/>
                <w:szCs w:val="21"/>
              </w:rPr>
            </w:pPr>
            <w:r>
              <w:rPr>
                <w:rFonts w:ascii="黑体" w:hAnsi="黑体" w:eastAsia="黑体"/>
                <w:szCs w:val="21"/>
              </w:rPr>
              <w:t>教学效果</w:t>
            </w:r>
          </w:p>
        </w:tc>
        <w:tc>
          <w:tcPr>
            <w:tcW w:w="4961" w:type="dxa"/>
            <w:vAlign w:val="center"/>
          </w:tcPr>
          <w:p w14:paraId="32D20741">
            <w:pPr>
              <w:jc w:val="center"/>
              <w:rPr>
                <w:rFonts w:hint="eastAsia" w:ascii="黑体" w:hAnsi="黑体" w:eastAsia="黑体"/>
                <w:szCs w:val="21"/>
              </w:rPr>
            </w:pPr>
            <w:r>
              <w:rPr>
                <w:rFonts w:hint="eastAsia" w:ascii="黑体" w:hAnsi="黑体" w:eastAsia="黑体"/>
                <w:szCs w:val="21"/>
              </w:rPr>
              <w:t>按时完成教学任务，教学目标达成度高</w:t>
            </w:r>
          </w:p>
        </w:tc>
        <w:tc>
          <w:tcPr>
            <w:tcW w:w="930" w:type="dxa"/>
            <w:vAlign w:val="center"/>
          </w:tcPr>
          <w:p w14:paraId="3E6D1976">
            <w:pPr>
              <w:jc w:val="center"/>
              <w:rPr>
                <w:rFonts w:hint="eastAsia" w:ascii="黑体" w:hAnsi="黑体" w:eastAsia="黑体"/>
                <w:szCs w:val="21"/>
              </w:rPr>
            </w:pPr>
            <w:r>
              <w:rPr>
                <w:rFonts w:hint="eastAsia" w:ascii="黑体" w:hAnsi="黑体" w:eastAsia="黑体"/>
                <w:szCs w:val="21"/>
              </w:rPr>
              <w:t>10</w:t>
            </w:r>
          </w:p>
        </w:tc>
      </w:tr>
      <w:tr w14:paraId="28EDDA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7" w:hRule="atLeast"/>
          <w:jc w:val="center"/>
        </w:trPr>
        <w:tc>
          <w:tcPr>
            <w:tcW w:w="988" w:type="dxa"/>
            <w:vMerge w:val="continue"/>
            <w:vAlign w:val="center"/>
          </w:tcPr>
          <w:p w14:paraId="337E9B13">
            <w:pPr>
              <w:jc w:val="center"/>
              <w:rPr>
                <w:rFonts w:hint="eastAsia" w:ascii="黑体" w:hAnsi="黑体" w:eastAsia="黑体"/>
                <w:szCs w:val="21"/>
              </w:rPr>
            </w:pPr>
          </w:p>
        </w:tc>
        <w:tc>
          <w:tcPr>
            <w:tcW w:w="1417" w:type="dxa"/>
            <w:vAlign w:val="center"/>
          </w:tcPr>
          <w:p w14:paraId="2AE11784">
            <w:pPr>
              <w:spacing w:line="480" w:lineRule="auto"/>
              <w:jc w:val="center"/>
              <w:rPr>
                <w:rFonts w:hint="eastAsia" w:ascii="黑体" w:hAnsi="黑体" w:eastAsia="黑体"/>
                <w:szCs w:val="21"/>
              </w:rPr>
            </w:pPr>
            <w:r>
              <w:rPr>
                <w:rFonts w:ascii="黑体" w:hAnsi="黑体" w:eastAsia="黑体"/>
                <w:szCs w:val="21"/>
              </w:rPr>
              <w:t>教学创新</w:t>
            </w:r>
          </w:p>
        </w:tc>
        <w:tc>
          <w:tcPr>
            <w:tcW w:w="4961" w:type="dxa"/>
            <w:vAlign w:val="center"/>
          </w:tcPr>
          <w:p w14:paraId="184FE33F">
            <w:pPr>
              <w:jc w:val="center"/>
              <w:rPr>
                <w:rFonts w:hint="eastAsia" w:ascii="黑体" w:hAnsi="黑体" w:eastAsia="黑体"/>
                <w:szCs w:val="21"/>
              </w:rPr>
            </w:pPr>
            <w:r>
              <w:rPr>
                <w:rFonts w:hint="eastAsia" w:ascii="黑体" w:hAnsi="黑体" w:eastAsia="黑体"/>
                <w:szCs w:val="21"/>
              </w:rPr>
              <w:t>教学过程富有创意；能创造性的使用教材；教学方法灵活多样，有突出的特色</w:t>
            </w:r>
          </w:p>
        </w:tc>
        <w:tc>
          <w:tcPr>
            <w:tcW w:w="930" w:type="dxa"/>
            <w:vAlign w:val="center"/>
          </w:tcPr>
          <w:p w14:paraId="4BCD9585">
            <w:pPr>
              <w:jc w:val="center"/>
              <w:rPr>
                <w:rFonts w:hint="eastAsia" w:ascii="黑体" w:hAnsi="黑体" w:eastAsia="黑体"/>
                <w:szCs w:val="21"/>
              </w:rPr>
            </w:pPr>
            <w:r>
              <w:rPr>
                <w:rFonts w:hint="eastAsia" w:ascii="黑体" w:hAnsi="黑体" w:eastAsia="黑体"/>
                <w:szCs w:val="21"/>
              </w:rPr>
              <w:t>10</w:t>
            </w:r>
          </w:p>
        </w:tc>
      </w:tr>
      <w:tr w14:paraId="06F3DD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13" w:hRule="atLeast"/>
          <w:jc w:val="center"/>
        </w:trPr>
        <w:tc>
          <w:tcPr>
            <w:tcW w:w="988" w:type="dxa"/>
            <w:vMerge w:val="restart"/>
            <w:vAlign w:val="center"/>
          </w:tcPr>
          <w:p w14:paraId="09D0F1D8">
            <w:pPr>
              <w:jc w:val="center"/>
              <w:rPr>
                <w:rFonts w:hint="eastAsia" w:ascii="黑体" w:hAnsi="黑体" w:eastAsia="黑体"/>
                <w:szCs w:val="21"/>
              </w:rPr>
            </w:pPr>
            <w:r>
              <w:rPr>
                <w:rFonts w:hint="eastAsia" w:ascii="黑体" w:hAnsi="黑体" w:eastAsia="黑体"/>
                <w:szCs w:val="21"/>
              </w:rPr>
              <w:t>板书</w:t>
            </w:r>
          </w:p>
          <w:p w14:paraId="2FDAB367">
            <w:pPr>
              <w:jc w:val="center"/>
              <w:rPr>
                <w:rFonts w:hint="eastAsia" w:ascii="黑体" w:hAnsi="黑体" w:eastAsia="黑体"/>
                <w:szCs w:val="21"/>
              </w:rPr>
            </w:pPr>
          </w:p>
          <w:p w14:paraId="74213847">
            <w:pPr>
              <w:jc w:val="center"/>
              <w:rPr>
                <w:rFonts w:hint="eastAsia" w:ascii="黑体" w:hAnsi="黑体" w:eastAsia="黑体"/>
                <w:szCs w:val="21"/>
              </w:rPr>
            </w:pPr>
            <w:r>
              <w:rPr>
                <w:rFonts w:hint="eastAsia" w:ascii="黑体" w:hAnsi="黑体" w:eastAsia="黑体"/>
                <w:szCs w:val="21"/>
              </w:rPr>
              <w:t>设计</w:t>
            </w:r>
          </w:p>
          <w:p w14:paraId="3978EF09">
            <w:pPr>
              <w:jc w:val="center"/>
              <w:rPr>
                <w:rFonts w:hint="eastAsia" w:ascii="黑体" w:hAnsi="黑体" w:eastAsia="黑体"/>
                <w:szCs w:val="21"/>
              </w:rPr>
            </w:pPr>
          </w:p>
          <w:p w14:paraId="6F76EDD4">
            <w:pPr>
              <w:jc w:val="center"/>
              <w:rPr>
                <w:rFonts w:hint="eastAsia" w:ascii="黑体" w:hAnsi="黑体" w:eastAsia="黑体"/>
                <w:szCs w:val="21"/>
              </w:rPr>
            </w:pPr>
            <w:r>
              <w:rPr>
                <w:rFonts w:hint="eastAsia" w:ascii="黑体" w:hAnsi="黑体" w:eastAsia="黑体"/>
                <w:szCs w:val="21"/>
              </w:rPr>
              <w:t>20分</w:t>
            </w:r>
          </w:p>
        </w:tc>
        <w:tc>
          <w:tcPr>
            <w:tcW w:w="1417" w:type="dxa"/>
            <w:vAlign w:val="center"/>
          </w:tcPr>
          <w:p w14:paraId="2CCA7832">
            <w:pPr>
              <w:spacing w:line="480" w:lineRule="auto"/>
              <w:jc w:val="center"/>
              <w:rPr>
                <w:rFonts w:hint="eastAsia" w:ascii="黑体" w:hAnsi="黑体" w:eastAsia="黑体"/>
                <w:szCs w:val="21"/>
              </w:rPr>
            </w:pPr>
            <w:r>
              <w:rPr>
                <w:rFonts w:ascii="黑体" w:hAnsi="黑体" w:eastAsia="黑体"/>
                <w:szCs w:val="21"/>
              </w:rPr>
              <w:t>内容匹配</w:t>
            </w:r>
          </w:p>
        </w:tc>
        <w:tc>
          <w:tcPr>
            <w:tcW w:w="4961" w:type="dxa"/>
            <w:vAlign w:val="center"/>
          </w:tcPr>
          <w:p w14:paraId="6E71CFC8">
            <w:pPr>
              <w:jc w:val="center"/>
              <w:rPr>
                <w:rFonts w:hint="eastAsia" w:ascii="黑体" w:hAnsi="黑体" w:eastAsia="黑体"/>
                <w:szCs w:val="21"/>
              </w:rPr>
            </w:pPr>
            <w:r>
              <w:rPr>
                <w:rFonts w:hint="eastAsia" w:ascii="黑体" w:hAnsi="黑体" w:eastAsia="黑体"/>
                <w:szCs w:val="21"/>
              </w:rPr>
              <w:t>反映教学设计意图，突显重点、难点，能调动学生主动性和积极性</w:t>
            </w:r>
          </w:p>
        </w:tc>
        <w:tc>
          <w:tcPr>
            <w:tcW w:w="930" w:type="dxa"/>
            <w:vAlign w:val="center"/>
          </w:tcPr>
          <w:p w14:paraId="1F3D1FA6">
            <w:pPr>
              <w:jc w:val="center"/>
              <w:rPr>
                <w:rFonts w:hint="eastAsia" w:ascii="黑体" w:hAnsi="黑体" w:eastAsia="黑体"/>
                <w:szCs w:val="21"/>
              </w:rPr>
            </w:pPr>
            <w:r>
              <w:rPr>
                <w:rFonts w:hint="eastAsia" w:ascii="黑体" w:hAnsi="黑体" w:eastAsia="黑体"/>
                <w:szCs w:val="21"/>
              </w:rPr>
              <w:t>8</w:t>
            </w:r>
          </w:p>
        </w:tc>
      </w:tr>
      <w:tr w14:paraId="10DAA8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6" w:hRule="atLeast"/>
          <w:jc w:val="center"/>
        </w:trPr>
        <w:tc>
          <w:tcPr>
            <w:tcW w:w="988" w:type="dxa"/>
            <w:vMerge w:val="continue"/>
            <w:vAlign w:val="center"/>
          </w:tcPr>
          <w:p w14:paraId="548BFC6E">
            <w:pPr>
              <w:jc w:val="center"/>
              <w:rPr>
                <w:rFonts w:hint="eastAsia" w:ascii="黑体" w:hAnsi="黑体" w:eastAsia="黑体"/>
                <w:szCs w:val="21"/>
              </w:rPr>
            </w:pPr>
          </w:p>
        </w:tc>
        <w:tc>
          <w:tcPr>
            <w:tcW w:w="1417" w:type="dxa"/>
            <w:vAlign w:val="center"/>
          </w:tcPr>
          <w:p w14:paraId="479E85ED">
            <w:pPr>
              <w:spacing w:line="480" w:lineRule="auto"/>
              <w:jc w:val="center"/>
              <w:rPr>
                <w:rFonts w:hint="eastAsia" w:ascii="黑体" w:hAnsi="黑体" w:eastAsia="黑体"/>
                <w:szCs w:val="21"/>
              </w:rPr>
            </w:pPr>
            <w:r>
              <w:rPr>
                <w:rFonts w:ascii="黑体" w:hAnsi="黑体" w:eastAsia="黑体"/>
                <w:szCs w:val="21"/>
              </w:rPr>
              <w:t>构图</w:t>
            </w:r>
          </w:p>
        </w:tc>
        <w:tc>
          <w:tcPr>
            <w:tcW w:w="4961" w:type="dxa"/>
            <w:vAlign w:val="center"/>
          </w:tcPr>
          <w:p w14:paraId="2784B78E">
            <w:pPr>
              <w:jc w:val="center"/>
              <w:rPr>
                <w:rFonts w:hint="eastAsia" w:ascii="黑体" w:hAnsi="黑体" w:eastAsia="黑体"/>
                <w:szCs w:val="21"/>
              </w:rPr>
            </w:pPr>
            <w:r>
              <w:rPr>
                <w:rFonts w:hint="eastAsia" w:ascii="黑体" w:hAnsi="黑体" w:eastAsia="黑体"/>
                <w:szCs w:val="21"/>
              </w:rPr>
              <w:t>构思巧妙，富有创意，构图自然，形象直观，教学辅助作用显著</w:t>
            </w:r>
          </w:p>
        </w:tc>
        <w:tc>
          <w:tcPr>
            <w:tcW w:w="930" w:type="dxa"/>
            <w:vAlign w:val="center"/>
          </w:tcPr>
          <w:p w14:paraId="29828FFD">
            <w:pPr>
              <w:jc w:val="center"/>
              <w:rPr>
                <w:rFonts w:hint="eastAsia" w:ascii="黑体" w:hAnsi="黑体" w:eastAsia="黑体"/>
                <w:szCs w:val="21"/>
              </w:rPr>
            </w:pPr>
            <w:r>
              <w:rPr>
                <w:rFonts w:hint="eastAsia" w:ascii="黑体" w:hAnsi="黑体" w:eastAsia="黑体"/>
                <w:szCs w:val="21"/>
              </w:rPr>
              <w:t>8</w:t>
            </w:r>
          </w:p>
        </w:tc>
      </w:tr>
      <w:tr w14:paraId="05D31A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8" w:hRule="atLeast"/>
          <w:jc w:val="center"/>
        </w:trPr>
        <w:tc>
          <w:tcPr>
            <w:tcW w:w="988" w:type="dxa"/>
            <w:vMerge w:val="continue"/>
            <w:vAlign w:val="center"/>
          </w:tcPr>
          <w:p w14:paraId="2F882D9B">
            <w:pPr>
              <w:jc w:val="center"/>
              <w:rPr>
                <w:rFonts w:hint="eastAsia" w:ascii="黑体" w:hAnsi="黑体" w:eastAsia="黑体"/>
                <w:szCs w:val="21"/>
              </w:rPr>
            </w:pPr>
          </w:p>
        </w:tc>
        <w:tc>
          <w:tcPr>
            <w:tcW w:w="1417" w:type="dxa"/>
            <w:vAlign w:val="center"/>
          </w:tcPr>
          <w:p w14:paraId="42ED6F72">
            <w:pPr>
              <w:spacing w:line="480" w:lineRule="auto"/>
              <w:jc w:val="center"/>
              <w:rPr>
                <w:rFonts w:hint="eastAsia" w:ascii="黑体" w:hAnsi="黑体" w:eastAsia="黑体"/>
                <w:szCs w:val="21"/>
              </w:rPr>
            </w:pPr>
            <w:r>
              <w:rPr>
                <w:rFonts w:ascii="黑体" w:hAnsi="黑体" w:eastAsia="黑体"/>
                <w:szCs w:val="21"/>
              </w:rPr>
              <w:t>书写</w:t>
            </w:r>
          </w:p>
        </w:tc>
        <w:tc>
          <w:tcPr>
            <w:tcW w:w="4961" w:type="dxa"/>
            <w:vAlign w:val="center"/>
          </w:tcPr>
          <w:p w14:paraId="29D94540">
            <w:pPr>
              <w:jc w:val="center"/>
              <w:rPr>
                <w:rFonts w:hint="eastAsia" w:ascii="黑体" w:hAnsi="黑体" w:eastAsia="黑体"/>
                <w:szCs w:val="21"/>
              </w:rPr>
            </w:pPr>
            <w:r>
              <w:rPr>
                <w:rFonts w:hint="eastAsia" w:ascii="黑体" w:hAnsi="黑体" w:eastAsia="黑体"/>
                <w:szCs w:val="21"/>
              </w:rPr>
              <w:t>书写快速流畅，字形大小适度，清楚整洁，美观大方，规范正确</w:t>
            </w:r>
          </w:p>
        </w:tc>
        <w:tc>
          <w:tcPr>
            <w:tcW w:w="930" w:type="dxa"/>
            <w:vAlign w:val="center"/>
          </w:tcPr>
          <w:p w14:paraId="0F42841E">
            <w:pPr>
              <w:jc w:val="center"/>
              <w:rPr>
                <w:rFonts w:hint="eastAsia" w:ascii="黑体" w:hAnsi="黑体" w:eastAsia="黑体"/>
                <w:szCs w:val="21"/>
              </w:rPr>
            </w:pPr>
            <w:r>
              <w:rPr>
                <w:rFonts w:hint="eastAsia" w:ascii="黑体" w:hAnsi="黑体" w:eastAsia="黑体"/>
                <w:szCs w:val="21"/>
              </w:rPr>
              <w:t>4</w:t>
            </w:r>
          </w:p>
        </w:tc>
      </w:tr>
      <w:bookmarkEnd w:id="0"/>
    </w:tbl>
    <w:p w14:paraId="6AF630F7">
      <w:pPr>
        <w:spacing w:line="480" w:lineRule="auto"/>
        <w:rPr>
          <w:rFonts w:hint="eastAsia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TQ4ODQwNThiYTg4YTBlNDhkZDRmNGNiNWM5NWE1YzAifQ=="/>
  </w:docVars>
  <w:rsids>
    <w:rsidRoot w:val="003F5191"/>
    <w:rsid w:val="0000762D"/>
    <w:rsid w:val="00057143"/>
    <w:rsid w:val="00080342"/>
    <w:rsid w:val="000E52D9"/>
    <w:rsid w:val="00103ACB"/>
    <w:rsid w:val="00170085"/>
    <w:rsid w:val="00181059"/>
    <w:rsid w:val="001D7918"/>
    <w:rsid w:val="001E1362"/>
    <w:rsid w:val="001F435C"/>
    <w:rsid w:val="00210F5F"/>
    <w:rsid w:val="00340C6D"/>
    <w:rsid w:val="003B15D3"/>
    <w:rsid w:val="003F4227"/>
    <w:rsid w:val="003F5191"/>
    <w:rsid w:val="00446A9D"/>
    <w:rsid w:val="0045686E"/>
    <w:rsid w:val="00483A3E"/>
    <w:rsid w:val="004B493B"/>
    <w:rsid w:val="004C63F0"/>
    <w:rsid w:val="00513498"/>
    <w:rsid w:val="005708D4"/>
    <w:rsid w:val="00585561"/>
    <w:rsid w:val="00587E9C"/>
    <w:rsid w:val="005B1EFA"/>
    <w:rsid w:val="00633343"/>
    <w:rsid w:val="00675EE3"/>
    <w:rsid w:val="006A1B3A"/>
    <w:rsid w:val="00733150"/>
    <w:rsid w:val="00742236"/>
    <w:rsid w:val="00743968"/>
    <w:rsid w:val="007934CA"/>
    <w:rsid w:val="007B7E7B"/>
    <w:rsid w:val="007D0731"/>
    <w:rsid w:val="00882A1B"/>
    <w:rsid w:val="009346BE"/>
    <w:rsid w:val="009B0B0F"/>
    <w:rsid w:val="00A37BA9"/>
    <w:rsid w:val="00A83231"/>
    <w:rsid w:val="00AB01EF"/>
    <w:rsid w:val="00B1783C"/>
    <w:rsid w:val="00B75823"/>
    <w:rsid w:val="00BE28BF"/>
    <w:rsid w:val="00C61009"/>
    <w:rsid w:val="00CE20BD"/>
    <w:rsid w:val="00D04D6D"/>
    <w:rsid w:val="00D33DFB"/>
    <w:rsid w:val="00D44A79"/>
    <w:rsid w:val="00D778F2"/>
    <w:rsid w:val="00DE3AB2"/>
    <w:rsid w:val="00E169BA"/>
    <w:rsid w:val="00E34C63"/>
    <w:rsid w:val="00E436F2"/>
    <w:rsid w:val="00EB0B18"/>
    <w:rsid w:val="00EB168C"/>
    <w:rsid w:val="00EE1F51"/>
    <w:rsid w:val="00EE522B"/>
    <w:rsid w:val="00F0217F"/>
    <w:rsid w:val="00F21FAB"/>
    <w:rsid w:val="00F255C2"/>
    <w:rsid w:val="00F45B05"/>
    <w:rsid w:val="00FD6B46"/>
    <w:rsid w:val="161478F5"/>
    <w:rsid w:val="4FED2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  <w14:ligatures w14:val="standardContextual"/>
    </w:rPr>
  </w:style>
  <w:style w:type="character" w:default="1" w:styleId="6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7">
    <w:name w:val="页眉 字符"/>
    <w:basedOn w:val="6"/>
    <w:link w:val="3"/>
    <w:qFormat/>
    <w:uiPriority w:val="99"/>
    <w:rPr>
      <w:sz w:val="18"/>
      <w:szCs w:val="18"/>
    </w:rPr>
  </w:style>
  <w:style w:type="character" w:customStyle="1" w:styleId="8">
    <w:name w:val="页脚 字符"/>
    <w:basedOn w:val="6"/>
    <w:link w:val="2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1042</Words>
  <Characters>1060</Characters>
  <Lines>8</Lines>
  <Paragraphs>2</Paragraphs>
  <TotalTime>64</TotalTime>
  <ScaleCrop>false</ScaleCrop>
  <LinksUpToDate>false</LinksUpToDate>
  <CharactersWithSpaces>1063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2024-10-15T01:20:00Z</dcterms:created>
  <dc:creator>8613587954581</dc:creator>
  <cp:lastModifiedBy>SCH</cp:lastModifiedBy>
  <dcterms:modified xsi:type="dcterms:W3CDTF">2025-03-20T06:38:54Z</dcterms:modified>
  <cp:revision>15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E717DABE1BD34D47A6F7F38420341D60_12</vt:lpwstr>
  </property>
  <property fmtid="{D5CDD505-2E9C-101B-9397-08002B2CF9AE}" pid="4" name="KSOTemplateDocerSaveRecord">
    <vt:lpwstr>eyJoZGlkIjoiZjY3NzFiOGExMGYxYTZkNWNmNTI2ZGQyOTUwYjY1NjIiLCJ1c2VySWQiOiI0NTI2NjU2MjEifQ==</vt:lpwstr>
  </property>
</Properties>
</file>